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7E01" w:rsidRPr="00F90CCA" w:rsidRDefault="00F90CCA" w:rsidP="00F90CCA">
      <w:pPr>
        <w:pStyle w:val="Heading1"/>
        <w:spacing w:after="400"/>
      </w:pPr>
      <w:r w:rsidRPr="007414BF">
        <w:rPr>
          <w:noProof/>
        </w:rPr>
        <w:drawing>
          <wp:anchor distT="0" distB="0" distL="114300" distR="114300" simplePos="0" relativeHeight="251659264" behindDoc="1" locked="0" layoutInCell="1" allowOverlap="1" wp14:anchorId="444701E5" wp14:editId="73209A63">
            <wp:simplePos x="0" y="0"/>
            <wp:positionH relativeFrom="margin">
              <wp:posOffset>2025650</wp:posOffset>
            </wp:positionH>
            <wp:positionV relativeFrom="margin">
              <wp:posOffset>-483523</wp:posOffset>
            </wp:positionV>
            <wp:extent cx="1426210" cy="673735"/>
            <wp:effectExtent l="0" t="0" r="0" b="0"/>
            <wp:wrapNone/>
            <wp:docPr id="1" name="Picture 1"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Transfer Model Curriculum Review Summary</w:t>
      </w:r>
      <w:r>
        <w:t xml:space="preserve"> - Biology</w:t>
      </w:r>
    </w:p>
    <w:p w:rsidR="002D7E01" w:rsidRPr="00F90CCA" w:rsidRDefault="002D7E01" w:rsidP="002D7E01">
      <w:pPr>
        <w:rPr>
          <w:u w:val="double"/>
        </w:rPr>
      </w:pPr>
      <w:r w:rsidRPr="001D4C91">
        <w:t>Please attach a copy of the vetting results for the TMC to the document.</w:t>
      </w:r>
    </w:p>
    <w:p w:rsidR="002D7E01" w:rsidRPr="00F90CCA" w:rsidRDefault="002D7E01" w:rsidP="00F90CCA">
      <w:pPr>
        <w:pStyle w:val="Numberlist-level1"/>
      </w:pPr>
      <w:r w:rsidRPr="00F90CCA">
        <w:t>Provide a breakdown of the respondents to the survey:</w:t>
      </w:r>
    </w:p>
    <w:p w:rsidR="002D7E01" w:rsidRPr="001D4C91" w:rsidRDefault="002D7E01" w:rsidP="00F90CCA">
      <w:pPr>
        <w:pStyle w:val="ListParagraph"/>
        <w:numPr>
          <w:ilvl w:val="0"/>
          <w:numId w:val="6"/>
        </w:numPr>
      </w:pPr>
      <w:r w:rsidRPr="001D4C91">
        <w:t># of CCC respondents:</w:t>
      </w:r>
      <w:r w:rsidR="005E2D4D">
        <w:t xml:space="preserve"> </w:t>
      </w:r>
      <w:r w:rsidR="005E2D4D" w:rsidRPr="00F90CCA">
        <w:rPr>
          <w:b/>
          <w:color w:val="002060"/>
        </w:rPr>
        <w:t>56</w:t>
      </w:r>
    </w:p>
    <w:p w:rsidR="002D7E01" w:rsidRPr="001D4C91" w:rsidRDefault="002D7E01" w:rsidP="00F90CCA">
      <w:pPr>
        <w:pStyle w:val="ListParagraph"/>
        <w:numPr>
          <w:ilvl w:val="0"/>
          <w:numId w:val="6"/>
        </w:numPr>
      </w:pPr>
      <w:r w:rsidRPr="001D4C91">
        <w:t># of CSU respondents:</w:t>
      </w:r>
      <w:r w:rsidR="005E2D4D">
        <w:t xml:space="preserve"> </w:t>
      </w:r>
      <w:r w:rsidR="005E2D4D" w:rsidRPr="00F90CCA">
        <w:rPr>
          <w:b/>
          <w:color w:val="002060"/>
        </w:rPr>
        <w:t>19</w:t>
      </w:r>
    </w:p>
    <w:p w:rsidR="002D7E01" w:rsidRPr="001D4C91" w:rsidRDefault="002D7E01" w:rsidP="00F90CCA">
      <w:pPr>
        <w:pStyle w:val="ListParagraph"/>
        <w:numPr>
          <w:ilvl w:val="0"/>
          <w:numId w:val="6"/>
        </w:numPr>
      </w:pPr>
      <w:r w:rsidRPr="001D4C91">
        <w:t># of UC respondents:</w:t>
      </w:r>
      <w:r w:rsidR="005E2D4D">
        <w:t xml:space="preserve"> </w:t>
      </w:r>
      <w:r w:rsidR="005E2D4D" w:rsidRPr="00F90CCA">
        <w:rPr>
          <w:b/>
          <w:color w:val="002060"/>
        </w:rPr>
        <w:t>0</w:t>
      </w:r>
    </w:p>
    <w:p w:rsidR="002D7E01" w:rsidRPr="001D4C91" w:rsidRDefault="002D7E01" w:rsidP="002D7E01">
      <w:pPr>
        <w:pStyle w:val="ListParagraph"/>
        <w:numPr>
          <w:ilvl w:val="0"/>
          <w:numId w:val="6"/>
        </w:numPr>
      </w:pPr>
      <w:r w:rsidRPr="001D4C91">
        <w:t xml:space="preserve">Total responses: </w:t>
      </w:r>
      <w:r w:rsidR="005E2D4D" w:rsidRPr="00F90CCA">
        <w:rPr>
          <w:b/>
          <w:color w:val="002060"/>
        </w:rPr>
        <w:t>75</w:t>
      </w:r>
    </w:p>
    <w:p w:rsidR="002D7E01" w:rsidRPr="00F90CCA" w:rsidRDefault="002D7E01" w:rsidP="002D7E01">
      <w:pPr>
        <w:rPr>
          <w:b/>
        </w:rPr>
      </w:pPr>
      <w:r w:rsidRPr="001D4C91">
        <w:rPr>
          <w:b/>
        </w:rPr>
        <w:t xml:space="preserve">Provide a written summary of the feedback from the survey to the question below: </w:t>
      </w:r>
    </w:p>
    <w:p w:rsidR="002D7E01" w:rsidRDefault="002D7E01" w:rsidP="00F90CCA">
      <w:pPr>
        <w:pStyle w:val="Numberlist-level1"/>
      </w:pPr>
      <w:r w:rsidRPr="001D4C91">
        <w:t>Were there any changes suggested to the CORE of the TMC?</w:t>
      </w:r>
    </w:p>
    <w:p w:rsidR="002D7E01" w:rsidRPr="00F90CCA" w:rsidRDefault="008262A6" w:rsidP="002D7E01">
      <w:pPr>
        <w:rPr>
          <w:b/>
          <w:color w:val="002060"/>
        </w:rPr>
      </w:pPr>
      <w:r w:rsidRPr="00B60007">
        <w:rPr>
          <w:b/>
          <w:color w:val="002060"/>
        </w:rPr>
        <w:t>No Changes Suggested</w:t>
      </w:r>
    </w:p>
    <w:p w:rsidR="002D7E01" w:rsidRDefault="002D7E01" w:rsidP="00F90CCA">
      <w:pPr>
        <w:pStyle w:val="Numberlist-level1"/>
      </w:pPr>
      <w:r w:rsidRPr="001D4C91">
        <w:t>Were there any changes suggested to the List A section of the TMC?</w:t>
      </w:r>
    </w:p>
    <w:p w:rsidR="002D7E01" w:rsidRPr="00F90CCA" w:rsidRDefault="008262A6" w:rsidP="002D7E01">
      <w:pPr>
        <w:rPr>
          <w:b/>
          <w:color w:val="002060"/>
        </w:rPr>
      </w:pPr>
      <w:r w:rsidRPr="00B60007">
        <w:rPr>
          <w:b/>
          <w:color w:val="002060"/>
        </w:rPr>
        <w:t>No Changes Suggested</w:t>
      </w:r>
    </w:p>
    <w:p w:rsidR="002D7E01" w:rsidRDefault="002D7E01" w:rsidP="00F90CCA">
      <w:pPr>
        <w:pStyle w:val="Numberlist-level1"/>
      </w:pPr>
      <w:r w:rsidRPr="001D4C91">
        <w:t xml:space="preserve">If appropriate, were there any changes suggested to the List B section of the TMC? </w:t>
      </w:r>
    </w:p>
    <w:p w:rsidR="002D7E01" w:rsidRPr="00F90CCA" w:rsidRDefault="008262A6" w:rsidP="002D7E01">
      <w:pPr>
        <w:rPr>
          <w:b/>
          <w:color w:val="002060"/>
        </w:rPr>
      </w:pPr>
      <w:r w:rsidRPr="00B60007">
        <w:rPr>
          <w:b/>
          <w:color w:val="002060"/>
        </w:rPr>
        <w:t>No Changes Suggested</w:t>
      </w:r>
    </w:p>
    <w:p w:rsidR="002D7E01" w:rsidRDefault="002D7E01" w:rsidP="00F90CCA">
      <w:pPr>
        <w:pStyle w:val="Numberlist-level1"/>
      </w:pPr>
      <w:r w:rsidRPr="001D4C91">
        <w:t xml:space="preserve">If appropriate, were there any changes suggested to the List C section of the TMC? </w:t>
      </w:r>
    </w:p>
    <w:p w:rsidR="002D7E01" w:rsidRPr="00F90CCA" w:rsidRDefault="008262A6" w:rsidP="002D7E01">
      <w:pPr>
        <w:rPr>
          <w:b/>
          <w:color w:val="002060"/>
        </w:rPr>
      </w:pPr>
      <w:r w:rsidRPr="00B60007">
        <w:rPr>
          <w:b/>
          <w:color w:val="002060"/>
        </w:rPr>
        <w:t>NA</w:t>
      </w:r>
    </w:p>
    <w:p w:rsidR="002D7E01" w:rsidRDefault="002D7E01" w:rsidP="00F90CCA">
      <w:pPr>
        <w:pStyle w:val="Numberlist-level1"/>
      </w:pPr>
      <w:r>
        <w:t xml:space="preserve">Please provide any general recommendations from the feedback received from the vetting. </w:t>
      </w:r>
    </w:p>
    <w:p w:rsidR="005E2D4D" w:rsidRPr="00F90CCA" w:rsidRDefault="008262A6" w:rsidP="002D7E01">
      <w:pPr>
        <w:rPr>
          <w:b/>
          <w:color w:val="002060"/>
        </w:rPr>
      </w:pPr>
      <w:r w:rsidRPr="00B60007">
        <w:rPr>
          <w:b/>
          <w:color w:val="002060"/>
        </w:rPr>
        <w:t xml:space="preserve">There is great frustration across the board with the misalignment between the CSU and UC transfer pathways.  The CSU requires physics (any variety) and no organic chemistry whereas the UC requires organic chemistry and no physics (but calculus-based physics if you are going to take it).  Given strict unit limitations, there is no way for the TMC to accommodate both pathways.  This creates major problems for community college students who are often trying to make themselves eligible for as many transfer options as possible.  There is therefore an urgent need for alignment between UC and CSU transfer pathways in biology.  Without such an alignment, the utility and value of the biology transfer degree is questionable. </w:t>
      </w:r>
    </w:p>
    <w:p w:rsidR="002D7E01" w:rsidRPr="00F90CCA" w:rsidRDefault="002D7E01" w:rsidP="00F90CCA">
      <w:pPr>
        <w:pStyle w:val="Heading2"/>
      </w:pPr>
      <w:r w:rsidRPr="00F90CCA">
        <w:t>Descriptor 5-Year Review Summary</w:t>
      </w:r>
    </w:p>
    <w:p w:rsidR="002D7E01" w:rsidRPr="00F90CCA" w:rsidRDefault="002D7E01" w:rsidP="002D7E01">
      <w:pPr>
        <w:rPr>
          <w:i/>
        </w:rPr>
      </w:pPr>
      <w:r w:rsidRPr="00107C9C">
        <w:rPr>
          <w:i/>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r w:rsidR="00F90CCA">
        <w:rPr>
          <w:i/>
        </w:rPr>
        <w:br w:type="page"/>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2D7E01" w:rsidRPr="00E1335E" w:rsidTr="00F90CCA">
        <w:trPr>
          <w:tblHeader/>
        </w:trPr>
        <w:tc>
          <w:tcPr>
            <w:tcW w:w="2520" w:type="dxa"/>
            <w:shd w:val="clear" w:color="auto" w:fill="D9D9D9" w:themeFill="background1" w:themeFillShade="D9"/>
          </w:tcPr>
          <w:p w:rsidR="002D7E01" w:rsidRPr="00E1335E" w:rsidRDefault="002D7E01" w:rsidP="002D7E01">
            <w:r w:rsidRPr="00E1335E">
              <w:lastRenderedPageBreak/>
              <w:t xml:space="preserve">C-ID Descriptor and Name </w:t>
            </w:r>
          </w:p>
        </w:tc>
        <w:tc>
          <w:tcPr>
            <w:tcW w:w="7380" w:type="dxa"/>
            <w:shd w:val="clear" w:color="auto" w:fill="D9D9D9" w:themeFill="background1" w:themeFillShade="D9"/>
          </w:tcPr>
          <w:p w:rsidR="002D7E01" w:rsidRPr="00E1335E" w:rsidRDefault="002D7E01" w:rsidP="002D7E01">
            <w:r w:rsidRPr="00E1335E">
              <w:t>Summary of the FDRG 5-Year Review</w:t>
            </w:r>
          </w:p>
        </w:tc>
      </w:tr>
      <w:tr w:rsidR="002D7E01" w:rsidRPr="00E1335E">
        <w:tc>
          <w:tcPr>
            <w:tcW w:w="2520" w:type="dxa"/>
          </w:tcPr>
          <w:p w:rsidR="002D7E01" w:rsidRPr="00F90CCA" w:rsidRDefault="008262A6" w:rsidP="002D7E01">
            <w:pPr>
              <w:rPr>
                <w:b/>
              </w:rPr>
            </w:pPr>
            <w:r w:rsidRPr="008262A6">
              <w:rPr>
                <w:b/>
              </w:rPr>
              <w:t>BIOL 110B</w:t>
            </w:r>
          </w:p>
        </w:tc>
        <w:tc>
          <w:tcPr>
            <w:tcW w:w="7380" w:type="dxa"/>
          </w:tcPr>
          <w:p w:rsidR="002D7E01" w:rsidRPr="008262A6" w:rsidRDefault="008262A6" w:rsidP="002D7E01">
            <w:r>
              <w:t>No Changes</w:t>
            </w:r>
          </w:p>
        </w:tc>
      </w:tr>
      <w:tr w:rsidR="002D7E01" w:rsidRPr="00E1335E">
        <w:tc>
          <w:tcPr>
            <w:tcW w:w="2520" w:type="dxa"/>
          </w:tcPr>
          <w:p w:rsidR="002D7E01" w:rsidRPr="00E1335E" w:rsidRDefault="008262A6" w:rsidP="002D7E01">
            <w:pPr>
              <w:rPr>
                <w:b/>
              </w:rPr>
            </w:pPr>
            <w:r>
              <w:rPr>
                <w:b/>
              </w:rPr>
              <w:t>BIOL 115S</w:t>
            </w:r>
          </w:p>
        </w:tc>
        <w:tc>
          <w:tcPr>
            <w:tcW w:w="7380" w:type="dxa"/>
          </w:tcPr>
          <w:p w:rsidR="002D7E01" w:rsidRPr="0071671E" w:rsidRDefault="0071671E" w:rsidP="0071671E">
            <w:r>
              <w:t>Change last sentence of course description from “This course is intended primarily for allied health majors” to “This course is primarily intended for nursing, allied health, kinesiology, and other health related majors” to match other courses in th</w:t>
            </w:r>
            <w:r w:rsidR="000F6420">
              <w:t>is</w:t>
            </w:r>
            <w:r>
              <w:t xml:space="preserve"> series.</w:t>
            </w:r>
          </w:p>
        </w:tc>
      </w:tr>
      <w:tr w:rsidR="002D7E01" w:rsidRPr="00E1335E">
        <w:tc>
          <w:tcPr>
            <w:tcW w:w="2520" w:type="dxa"/>
          </w:tcPr>
          <w:p w:rsidR="002D7E01" w:rsidRPr="00E1335E" w:rsidRDefault="0071671E" w:rsidP="002D7E01">
            <w:pPr>
              <w:rPr>
                <w:b/>
              </w:rPr>
            </w:pPr>
            <w:r>
              <w:rPr>
                <w:b/>
              </w:rPr>
              <w:t>BIOL 120B</w:t>
            </w:r>
          </w:p>
        </w:tc>
        <w:tc>
          <w:tcPr>
            <w:tcW w:w="7380" w:type="dxa"/>
          </w:tcPr>
          <w:p w:rsidR="002D7E01" w:rsidRPr="00E1335E" w:rsidRDefault="0071671E" w:rsidP="002D7E01">
            <w:r>
              <w:t>No Changes</w:t>
            </w:r>
          </w:p>
        </w:tc>
      </w:tr>
      <w:tr w:rsidR="002D7E01" w:rsidRPr="00E1335E">
        <w:tc>
          <w:tcPr>
            <w:tcW w:w="2520" w:type="dxa"/>
          </w:tcPr>
          <w:p w:rsidR="002D7E01" w:rsidRPr="00E1335E" w:rsidRDefault="0071671E" w:rsidP="002D7E01">
            <w:pPr>
              <w:rPr>
                <w:b/>
              </w:rPr>
            </w:pPr>
            <w:r>
              <w:rPr>
                <w:b/>
              </w:rPr>
              <w:t>BIOL 130S</w:t>
            </w:r>
          </w:p>
        </w:tc>
        <w:tc>
          <w:tcPr>
            <w:tcW w:w="7380" w:type="dxa"/>
          </w:tcPr>
          <w:p w:rsidR="002D7E01" w:rsidRPr="00E1335E" w:rsidRDefault="0071671E" w:rsidP="002D7E01">
            <w:r>
              <w:t>No Changes</w:t>
            </w:r>
          </w:p>
        </w:tc>
      </w:tr>
      <w:tr w:rsidR="0071671E" w:rsidRPr="00E1335E">
        <w:tc>
          <w:tcPr>
            <w:tcW w:w="2520" w:type="dxa"/>
          </w:tcPr>
          <w:p w:rsidR="0071671E" w:rsidRDefault="0071671E" w:rsidP="002D7E01">
            <w:pPr>
              <w:rPr>
                <w:b/>
              </w:rPr>
            </w:pPr>
            <w:r>
              <w:rPr>
                <w:b/>
              </w:rPr>
              <w:t>BIOL 135S</w:t>
            </w:r>
          </w:p>
        </w:tc>
        <w:tc>
          <w:tcPr>
            <w:tcW w:w="7380" w:type="dxa"/>
          </w:tcPr>
          <w:p w:rsidR="0071671E" w:rsidRPr="0071671E" w:rsidRDefault="0071671E" w:rsidP="002D7E01">
            <w:r>
              <w:t xml:space="preserve">There is a clear typo/omission in the Course Objectives in this descriptor.  This is supposed to be a combination of BIOL 190 and BIOL 130S.  However, the Course Objectives </w:t>
            </w:r>
            <w:r>
              <w:rPr>
                <w:i/>
              </w:rPr>
              <w:t>only</w:t>
            </w:r>
            <w:r>
              <w:t xml:space="preserve"> include objectives from 130S.  We would like to </w:t>
            </w:r>
            <w:r>
              <w:rPr>
                <w:i/>
              </w:rPr>
              <w:t>add</w:t>
            </w:r>
            <w:r>
              <w:t xml:space="preserve"> the Course Objectives from BIOL 190 to the existing Course Objectives in BIOL 135S so 135S is representatives of the two underlying courses.  However, we wish for all current articulations under 135S to remain intact.  We do not foresee a need for colleges to re-submit curricula if they already have an approval for 135S.</w:t>
            </w:r>
          </w:p>
        </w:tc>
      </w:tr>
      <w:tr w:rsidR="0071671E" w:rsidRPr="00E1335E">
        <w:tc>
          <w:tcPr>
            <w:tcW w:w="2520" w:type="dxa"/>
          </w:tcPr>
          <w:p w:rsidR="0071671E" w:rsidRDefault="0071671E" w:rsidP="002D7E01">
            <w:pPr>
              <w:rPr>
                <w:b/>
              </w:rPr>
            </w:pPr>
            <w:r>
              <w:rPr>
                <w:b/>
              </w:rPr>
              <w:t>BIOL 140</w:t>
            </w:r>
          </w:p>
        </w:tc>
        <w:tc>
          <w:tcPr>
            <w:tcW w:w="7380" w:type="dxa"/>
          </w:tcPr>
          <w:p w:rsidR="0071671E" w:rsidRDefault="0071671E" w:rsidP="002D7E01">
            <w:r>
              <w:t>No Changes</w:t>
            </w:r>
          </w:p>
        </w:tc>
      </w:tr>
      <w:tr w:rsidR="0071671E" w:rsidRPr="00E1335E">
        <w:tc>
          <w:tcPr>
            <w:tcW w:w="2520" w:type="dxa"/>
          </w:tcPr>
          <w:p w:rsidR="0071671E" w:rsidRDefault="0071671E" w:rsidP="002D7E01">
            <w:pPr>
              <w:rPr>
                <w:b/>
              </w:rPr>
            </w:pPr>
            <w:r>
              <w:rPr>
                <w:b/>
              </w:rPr>
              <w:t>BIOL 150</w:t>
            </w:r>
          </w:p>
        </w:tc>
        <w:tc>
          <w:tcPr>
            <w:tcW w:w="7380" w:type="dxa"/>
          </w:tcPr>
          <w:p w:rsidR="0071671E" w:rsidRDefault="0071671E" w:rsidP="002D7E01">
            <w:r>
              <w:t>No Changes</w:t>
            </w:r>
          </w:p>
        </w:tc>
      </w:tr>
      <w:tr w:rsidR="0071671E" w:rsidRPr="00E1335E">
        <w:tc>
          <w:tcPr>
            <w:tcW w:w="2520" w:type="dxa"/>
          </w:tcPr>
          <w:p w:rsidR="0071671E" w:rsidRDefault="0071671E" w:rsidP="002D7E01">
            <w:pPr>
              <w:rPr>
                <w:b/>
              </w:rPr>
            </w:pPr>
            <w:r>
              <w:rPr>
                <w:b/>
              </w:rPr>
              <w:t>BIOL 155</w:t>
            </w:r>
          </w:p>
        </w:tc>
        <w:tc>
          <w:tcPr>
            <w:tcW w:w="7380" w:type="dxa"/>
          </w:tcPr>
          <w:p w:rsidR="0071671E" w:rsidRDefault="0071671E" w:rsidP="002D7E01">
            <w:r>
              <w:t>No Changes</w:t>
            </w:r>
          </w:p>
        </w:tc>
      </w:tr>
      <w:tr w:rsidR="0071671E" w:rsidRPr="00E1335E">
        <w:tc>
          <w:tcPr>
            <w:tcW w:w="2520" w:type="dxa"/>
          </w:tcPr>
          <w:p w:rsidR="0071671E" w:rsidRDefault="0071671E" w:rsidP="002D7E01">
            <w:pPr>
              <w:rPr>
                <w:b/>
              </w:rPr>
            </w:pPr>
            <w:r>
              <w:rPr>
                <w:b/>
              </w:rPr>
              <w:t>BIOL 190</w:t>
            </w:r>
          </w:p>
        </w:tc>
        <w:tc>
          <w:tcPr>
            <w:tcW w:w="7380" w:type="dxa"/>
          </w:tcPr>
          <w:p w:rsidR="0071671E" w:rsidRDefault="0071671E" w:rsidP="002D7E01">
            <w:r w:rsidRPr="005E2D4D">
              <w:rPr>
                <w:i/>
              </w:rPr>
              <w:t>Remove</w:t>
            </w:r>
            <w:r>
              <w:t xml:space="preserve"> Chemistry as a prerequisite.  Afterward, the BIOL 190 prerequisites should match those currently shown for BIOL 135S.</w:t>
            </w:r>
          </w:p>
        </w:tc>
      </w:tr>
    </w:tbl>
    <w:p w:rsidR="002D7E01" w:rsidRPr="001D4C91" w:rsidRDefault="002D7E01" w:rsidP="002D7E01"/>
    <w:sectPr w:rsidR="002D7E01" w:rsidRPr="001D4C91" w:rsidSect="00F90CCA">
      <w:footerReference w:type="even" r:id="rId8"/>
      <w:footerReference w:type="default" r:id="rId9"/>
      <w:pgSz w:w="12240" w:h="15840"/>
      <w:pgMar w:top="121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AFC" w:rsidRDefault="00351AFC">
      <w:r>
        <w:separator/>
      </w:r>
    </w:p>
  </w:endnote>
  <w:endnote w:type="continuationSeparator" w:id="0">
    <w:p w:rsidR="00351AFC" w:rsidRDefault="0035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Default="002D7E01" w:rsidP="002D7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E01" w:rsidRDefault="002D7E01" w:rsidP="002D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Pr="00D90972" w:rsidRDefault="002D7E01" w:rsidP="002D7E0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Pr>
        <w:rStyle w:val="PageNumber"/>
        <w:noProof/>
      </w:rPr>
      <w:t>1</w:t>
    </w:r>
    <w:r w:rsidRPr="00D90972">
      <w:rPr>
        <w:rStyle w:val="PageNumber"/>
      </w:rPr>
      <w:fldChar w:fldCharType="end"/>
    </w:r>
  </w:p>
  <w:p w:rsidR="002D7E01" w:rsidRDefault="002D7E01" w:rsidP="002D7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AFC" w:rsidRDefault="00351AFC">
      <w:r>
        <w:separator/>
      </w:r>
    </w:p>
  </w:footnote>
  <w:footnote w:type="continuationSeparator" w:id="0">
    <w:p w:rsidR="00351AFC" w:rsidRDefault="0035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A5AA2"/>
    <w:multiLevelType w:val="hybridMultilevel"/>
    <w:tmpl w:val="7E22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61472729">
    <w:abstractNumId w:val="0"/>
  </w:num>
  <w:num w:numId="2" w16cid:durableId="388458557">
    <w:abstractNumId w:val="5"/>
  </w:num>
  <w:num w:numId="3" w16cid:durableId="710151571">
    <w:abstractNumId w:val="4"/>
  </w:num>
  <w:num w:numId="4" w16cid:durableId="2094011200">
    <w:abstractNumId w:val="2"/>
  </w:num>
  <w:num w:numId="5" w16cid:durableId="2028483102">
    <w:abstractNumId w:val="3"/>
  </w:num>
  <w:num w:numId="6" w16cid:durableId="59875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3381A"/>
    <w:rsid w:val="000F6420"/>
    <w:rsid w:val="001669EA"/>
    <w:rsid w:val="00190355"/>
    <w:rsid w:val="002A252C"/>
    <w:rsid w:val="002A32B6"/>
    <w:rsid w:val="002D7E01"/>
    <w:rsid w:val="00351AFC"/>
    <w:rsid w:val="00395142"/>
    <w:rsid w:val="00414A3C"/>
    <w:rsid w:val="00467F11"/>
    <w:rsid w:val="00544041"/>
    <w:rsid w:val="005C6A90"/>
    <w:rsid w:val="005E2D4D"/>
    <w:rsid w:val="0071281F"/>
    <w:rsid w:val="0071671E"/>
    <w:rsid w:val="007E4BA4"/>
    <w:rsid w:val="008262A6"/>
    <w:rsid w:val="008C343E"/>
    <w:rsid w:val="00A41F65"/>
    <w:rsid w:val="00B60007"/>
    <w:rsid w:val="00CD2A74"/>
    <w:rsid w:val="00DD18AA"/>
    <w:rsid w:val="00E96A24"/>
    <w:rsid w:val="00F359A6"/>
    <w:rsid w:val="00F83DED"/>
    <w:rsid w:val="00F90C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73D5F1"/>
  <w15:chartTrackingRefBased/>
  <w15:docId w15:val="{CAF49C44-EF92-0041-8B8F-8136A7C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CA"/>
    <w:pPr>
      <w:spacing w:after="120"/>
    </w:pPr>
    <w:rPr>
      <w:rFonts w:ascii="Arial" w:hAnsi="Arial"/>
      <w:sz w:val="22"/>
      <w:szCs w:val="24"/>
    </w:rPr>
  </w:style>
  <w:style w:type="paragraph" w:styleId="Heading1">
    <w:name w:val="heading 1"/>
    <w:basedOn w:val="Normal"/>
    <w:next w:val="Normal"/>
    <w:link w:val="Heading1Char"/>
    <w:qFormat/>
    <w:rsid w:val="00F90CCA"/>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F90CCA"/>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F90CCA"/>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0CCA"/>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customStyle="1" w:styleId="Heading1Char">
    <w:name w:val="Heading 1 Char"/>
    <w:link w:val="Heading1"/>
    <w:rsid w:val="00F90CCA"/>
    <w:rPr>
      <w:rFonts w:ascii="Calibri Light" w:eastAsia="Times New Roman" w:hAnsi="Calibri Light"/>
      <w:b/>
      <w:bCs/>
      <w:kern w:val="32"/>
      <w:sz w:val="32"/>
      <w:szCs w:val="32"/>
    </w:rPr>
  </w:style>
  <w:style w:type="character" w:customStyle="1" w:styleId="Heading2Char">
    <w:name w:val="Heading 2 Char"/>
    <w:link w:val="Heading2"/>
    <w:rsid w:val="00F90CCA"/>
    <w:rPr>
      <w:rFonts w:ascii="Arial" w:eastAsia="Times New Roman" w:hAnsi="Arial"/>
      <w:b/>
      <w:bCs/>
      <w:iCs/>
      <w:sz w:val="26"/>
      <w:szCs w:val="26"/>
    </w:rPr>
  </w:style>
  <w:style w:type="character" w:customStyle="1" w:styleId="Heading3Char">
    <w:name w:val="Heading 3 Char"/>
    <w:basedOn w:val="DefaultParagraphFont"/>
    <w:link w:val="Heading3"/>
    <w:rsid w:val="00F90CCA"/>
    <w:rPr>
      <w:rFonts w:ascii="Arial" w:eastAsiaTheme="majorEastAsia" w:hAnsi="Arial" w:cs="Arial"/>
      <w:b/>
      <w:bCs/>
      <w:color w:val="000000" w:themeColor="text1"/>
      <w:sz w:val="24"/>
      <w:szCs w:val="24"/>
    </w:rPr>
  </w:style>
  <w:style w:type="character" w:styleId="Hyperlink">
    <w:name w:val="Hyperlink"/>
    <w:rsid w:val="00F90CCA"/>
    <w:rPr>
      <w:color w:val="4472C4"/>
      <w:u w:val="single"/>
    </w:rPr>
  </w:style>
  <w:style w:type="paragraph" w:customStyle="1" w:styleId="Numberlist-level1">
    <w:name w:val="Number list - level 1"/>
    <w:basedOn w:val="Normal"/>
    <w:qFormat/>
    <w:rsid w:val="00F90CCA"/>
    <w:pPr>
      <w:numPr>
        <w:numId w:val="5"/>
      </w:numPr>
      <w:spacing w:before="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36348">
      <w:bodyDiv w:val="1"/>
      <w:marLeft w:val="0"/>
      <w:marRight w:val="0"/>
      <w:marTop w:val="0"/>
      <w:marBottom w:val="0"/>
      <w:divBdr>
        <w:top w:val="none" w:sz="0" w:space="0" w:color="auto"/>
        <w:left w:val="none" w:sz="0" w:space="0" w:color="auto"/>
        <w:bottom w:val="none" w:sz="0" w:space="0" w:color="auto"/>
        <w:right w:val="none" w:sz="0" w:space="0" w:color="auto"/>
      </w:divBdr>
    </w:div>
    <w:div w:id="1673071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2508</Characters>
  <Application>Microsoft Office Word</Application>
  <DocSecurity>0</DocSecurity>
  <Lines>65</Lines>
  <Paragraphs>40</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Biology</dc:title>
  <dc:subject/>
  <dc:creator>Krystinne Mica</dc:creator>
  <cp:keywords/>
  <dc:description/>
  <cp:lastModifiedBy>Katie Nash</cp:lastModifiedBy>
  <cp:revision>4</cp:revision>
  <dcterms:created xsi:type="dcterms:W3CDTF">2025-04-03T21:12:00Z</dcterms:created>
  <dcterms:modified xsi:type="dcterms:W3CDTF">2025-04-03T21:17:00Z</dcterms:modified>
  <cp:category/>
</cp:coreProperties>
</file>