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7E01" w:rsidRPr="004A7BAA" w:rsidRDefault="004A7BAA" w:rsidP="004A7BAA">
      <w:pPr>
        <w:pStyle w:val="Heading1"/>
      </w:pPr>
      <w:r w:rsidRPr="004A7BAA">
        <w:rPr>
          <w:noProof/>
        </w:rPr>
        <w:drawing>
          <wp:anchor distT="0" distB="0" distL="114300" distR="114300" simplePos="0" relativeHeight="251659264" behindDoc="1" locked="0" layoutInCell="1" allowOverlap="1" wp14:anchorId="6D294D22" wp14:editId="64810710">
            <wp:simplePos x="0" y="0"/>
            <wp:positionH relativeFrom="margin">
              <wp:posOffset>2025650</wp:posOffset>
            </wp:positionH>
            <wp:positionV relativeFrom="margin">
              <wp:posOffset>-375285</wp:posOffset>
            </wp:positionV>
            <wp:extent cx="1426210" cy="673735"/>
            <wp:effectExtent l="0" t="0" r="0" b="0"/>
            <wp:wrapTopAndBottom/>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4A7BAA">
        <w:t xml:space="preserve">Transfer Model Curriculum </w:t>
      </w:r>
      <w:r w:rsidR="002D7E01" w:rsidRPr="004A7BAA">
        <w:t xml:space="preserve">5-Year Review </w:t>
      </w:r>
      <w:proofErr w:type="gramStart"/>
      <w:r w:rsidR="002D7E01" w:rsidRPr="004A7BAA">
        <w:t xml:space="preserve">Summary </w:t>
      </w:r>
      <w:r w:rsidR="00D3086D">
        <w:t xml:space="preserve"> -</w:t>
      </w:r>
      <w:proofErr w:type="gramEnd"/>
      <w:r w:rsidR="00D3086D">
        <w:t xml:space="preserve"> </w:t>
      </w:r>
      <w:r w:rsidR="00D3086D">
        <w:br/>
      </w:r>
      <w:r w:rsidR="00D3086D" w:rsidRPr="00D3086D">
        <w:t>Film, Television, and Electronic Media</w:t>
      </w:r>
    </w:p>
    <w:p w:rsidR="002D7E01" w:rsidRPr="001D4C91" w:rsidRDefault="002D7E01" w:rsidP="002D7E01">
      <w:r w:rsidRPr="001D4C91">
        <w:t>Please attach a copy of the vetting results for the TMC to the document.</w:t>
      </w:r>
    </w:p>
    <w:p w:rsidR="002D7E01" w:rsidRPr="004A7BAA" w:rsidRDefault="002D7E01" w:rsidP="004A7BAA">
      <w:pPr>
        <w:pStyle w:val="Numberlist-level1"/>
      </w:pPr>
      <w:r w:rsidRPr="004A7BAA">
        <w:t>Provide a breakdown of the respondents to the survey:</w:t>
      </w:r>
    </w:p>
    <w:p w:rsidR="002D7E01" w:rsidRPr="004A7BAA" w:rsidRDefault="002D7E01" w:rsidP="00D3086D">
      <w:pPr>
        <w:pStyle w:val="ListParagraph"/>
        <w:numPr>
          <w:ilvl w:val="0"/>
          <w:numId w:val="18"/>
        </w:numPr>
      </w:pPr>
      <w:r w:rsidRPr="004A7BAA">
        <w:t># of CCC respondents:</w:t>
      </w:r>
      <w:r w:rsidR="005E2D4D" w:rsidRPr="004A7BAA">
        <w:t xml:space="preserve"> </w:t>
      </w:r>
      <w:r w:rsidR="00353A19" w:rsidRPr="004A7BAA">
        <w:t xml:space="preserve"> </w:t>
      </w:r>
      <w:r w:rsidR="00761809" w:rsidRPr="004A7BAA">
        <w:t>26</w:t>
      </w:r>
    </w:p>
    <w:p w:rsidR="002D7E01" w:rsidRPr="004A7BAA" w:rsidRDefault="002D7E01" w:rsidP="00D3086D">
      <w:pPr>
        <w:pStyle w:val="ListParagraph"/>
        <w:numPr>
          <w:ilvl w:val="0"/>
          <w:numId w:val="18"/>
        </w:numPr>
      </w:pPr>
      <w:r w:rsidRPr="004A7BAA">
        <w:t># of CSU respondents:</w:t>
      </w:r>
      <w:r w:rsidR="005E2D4D" w:rsidRPr="004A7BAA">
        <w:t xml:space="preserve"> </w:t>
      </w:r>
      <w:r w:rsidR="00353A19" w:rsidRPr="004A7BAA">
        <w:t xml:space="preserve"> </w:t>
      </w:r>
      <w:r w:rsidR="00761809" w:rsidRPr="004A7BAA">
        <w:t>2</w:t>
      </w:r>
    </w:p>
    <w:p w:rsidR="002D7E01" w:rsidRPr="004A7BAA" w:rsidRDefault="002D7E01" w:rsidP="00D3086D">
      <w:pPr>
        <w:pStyle w:val="ListParagraph"/>
        <w:numPr>
          <w:ilvl w:val="0"/>
          <w:numId w:val="18"/>
        </w:numPr>
      </w:pPr>
      <w:r w:rsidRPr="004A7BAA">
        <w:t># of UC respondents:</w:t>
      </w:r>
      <w:r w:rsidR="005E2D4D" w:rsidRPr="004A7BAA">
        <w:t xml:space="preserve"> </w:t>
      </w:r>
      <w:r w:rsidR="00353A19" w:rsidRPr="004A7BAA">
        <w:t xml:space="preserve"> </w:t>
      </w:r>
      <w:r w:rsidR="00761809" w:rsidRPr="004A7BAA">
        <w:t>0</w:t>
      </w:r>
    </w:p>
    <w:p w:rsidR="002D7E01" w:rsidRPr="001D4C91" w:rsidRDefault="002D7E01" w:rsidP="00D3086D">
      <w:pPr>
        <w:pStyle w:val="ListParagraph"/>
        <w:numPr>
          <w:ilvl w:val="0"/>
          <w:numId w:val="18"/>
        </w:numPr>
      </w:pPr>
      <w:r w:rsidRPr="004A7BAA">
        <w:t xml:space="preserve">Total responses: </w:t>
      </w:r>
      <w:r w:rsidR="00353A19" w:rsidRPr="004A7BAA">
        <w:t xml:space="preserve"> </w:t>
      </w:r>
      <w:r w:rsidR="00761809" w:rsidRPr="004A7BAA">
        <w:t>28</w:t>
      </w:r>
    </w:p>
    <w:p w:rsidR="002D7E01" w:rsidRPr="004A7BAA" w:rsidRDefault="002D7E01" w:rsidP="002D7E01">
      <w:pPr>
        <w:rPr>
          <w:b/>
        </w:rPr>
      </w:pPr>
      <w:r w:rsidRPr="001D4C91">
        <w:rPr>
          <w:b/>
        </w:rPr>
        <w:t xml:space="preserve">Provide a written summary of the feedback from the survey to the question below: </w:t>
      </w:r>
    </w:p>
    <w:p w:rsidR="002D7E01" w:rsidRPr="002C0CD9" w:rsidRDefault="003458AF" w:rsidP="004A7BAA">
      <w:pPr>
        <w:pStyle w:val="Numberlist-level1"/>
      </w:pPr>
      <w:r w:rsidRPr="002C0CD9">
        <w:t xml:space="preserve">Provide a response to the survey feedback on the TMC required core.  Describe </w:t>
      </w:r>
      <w:r w:rsidR="002D7E01" w:rsidRPr="002C0CD9">
        <w:t>any changes suggested to the CORE of the TMC</w:t>
      </w:r>
      <w:r w:rsidRPr="002C0CD9">
        <w:t>.</w:t>
      </w:r>
    </w:p>
    <w:p w:rsidR="00EA6C59" w:rsidRDefault="008225ED" w:rsidP="002D7E01">
      <w:pPr>
        <w:rPr>
          <w:b/>
          <w:color w:val="002060"/>
        </w:rPr>
      </w:pPr>
      <w:r>
        <w:rPr>
          <w:b/>
          <w:color w:val="002060"/>
        </w:rPr>
        <w:t>Overall, the response was favorable for the addition of FTVE 115 Introduction to Screenwriting course in the TMC required core.</w:t>
      </w:r>
    </w:p>
    <w:p w:rsidR="002D7E01" w:rsidRPr="004A7BAA" w:rsidRDefault="00EA6C59" w:rsidP="002D7E01">
      <w:pPr>
        <w:rPr>
          <w:b/>
          <w:color w:val="002060"/>
        </w:rPr>
      </w:pPr>
      <w:r>
        <w:rPr>
          <w:b/>
          <w:color w:val="002060"/>
        </w:rPr>
        <w:t>No additional changes made</w:t>
      </w:r>
    </w:p>
    <w:p w:rsidR="002D7E01" w:rsidRPr="002C0CD9" w:rsidRDefault="003458AF" w:rsidP="004A7BAA">
      <w:pPr>
        <w:pStyle w:val="Numberlist-level1"/>
      </w:pPr>
      <w:r w:rsidRPr="002C0CD9">
        <w:t>Provide a response to the survey feedback on List A of the TMC.  Describe</w:t>
      </w:r>
      <w:r w:rsidR="002D7E01" w:rsidRPr="002C0CD9">
        <w:t xml:space="preserve"> any changes to the List A section of the TMC</w:t>
      </w:r>
      <w:r w:rsidRPr="002C0CD9">
        <w:t>.</w:t>
      </w:r>
    </w:p>
    <w:p w:rsidR="008225ED" w:rsidRDefault="008225ED" w:rsidP="002D7E01">
      <w:pPr>
        <w:rPr>
          <w:b/>
          <w:color w:val="002060"/>
        </w:rPr>
      </w:pPr>
      <w:r>
        <w:rPr>
          <w:b/>
          <w:color w:val="002060"/>
        </w:rPr>
        <w:t xml:space="preserve">FDRG recommendations: </w:t>
      </w:r>
    </w:p>
    <w:p w:rsidR="008225ED" w:rsidRPr="004A7BAA" w:rsidRDefault="008225ED" w:rsidP="002D7E01">
      <w:pPr>
        <w:numPr>
          <w:ilvl w:val="0"/>
          <w:numId w:val="5"/>
        </w:numPr>
        <w:rPr>
          <w:b/>
          <w:color w:val="002060"/>
        </w:rPr>
      </w:pPr>
      <w:r>
        <w:rPr>
          <w:b/>
          <w:color w:val="002060"/>
        </w:rPr>
        <w:t xml:space="preserve">Maintain the requirement that students must </w:t>
      </w:r>
      <w:r w:rsidR="00EA6C59">
        <w:rPr>
          <w:b/>
          <w:color w:val="002060"/>
        </w:rPr>
        <w:t>complete</w:t>
      </w:r>
      <w:r>
        <w:rPr>
          <w:b/>
          <w:color w:val="002060"/>
        </w:rPr>
        <w:t xml:space="preserve"> one course from List A</w:t>
      </w:r>
      <w:r w:rsidR="00EA6C59">
        <w:rPr>
          <w:b/>
          <w:color w:val="002060"/>
        </w:rPr>
        <w:t xml:space="preserve"> Audio and one course from List A Video or Film. We believe this provides students with a more well-rounded education to prepare them for transfer to the CSUs</w:t>
      </w:r>
    </w:p>
    <w:p w:rsidR="002D7E01" w:rsidRPr="004A7BAA" w:rsidRDefault="00EA6C59" w:rsidP="002D7E01">
      <w:pPr>
        <w:numPr>
          <w:ilvl w:val="0"/>
          <w:numId w:val="5"/>
        </w:numPr>
        <w:rPr>
          <w:b/>
          <w:color w:val="002060"/>
        </w:rPr>
      </w:pPr>
      <w:r>
        <w:rPr>
          <w:b/>
          <w:color w:val="002060"/>
        </w:rPr>
        <w:t xml:space="preserve">Do not include a separate </w:t>
      </w:r>
      <w:r w:rsidR="008225ED">
        <w:rPr>
          <w:b/>
          <w:color w:val="002060"/>
        </w:rPr>
        <w:t>documentary filmmaking</w:t>
      </w:r>
      <w:r>
        <w:rPr>
          <w:b/>
          <w:color w:val="002060"/>
        </w:rPr>
        <w:t xml:space="preserve"> course</w:t>
      </w:r>
      <w:r w:rsidR="008225ED">
        <w:rPr>
          <w:b/>
          <w:color w:val="002060"/>
        </w:rPr>
        <w:t xml:space="preserve"> </w:t>
      </w:r>
      <w:r>
        <w:rPr>
          <w:b/>
          <w:color w:val="002060"/>
        </w:rPr>
        <w:t xml:space="preserve">into List A, because this topic </w:t>
      </w:r>
      <w:r w:rsidR="008225ED">
        <w:rPr>
          <w:b/>
          <w:color w:val="002060"/>
        </w:rPr>
        <w:t xml:space="preserve">can be included as part of the curriculum for FTVE </w:t>
      </w:r>
      <w:r>
        <w:rPr>
          <w:b/>
          <w:color w:val="002060"/>
        </w:rPr>
        <w:t xml:space="preserve">130 Beginning Single Camera Production  </w:t>
      </w:r>
    </w:p>
    <w:p w:rsidR="002D7E01" w:rsidRPr="004A7BAA" w:rsidRDefault="003458AF" w:rsidP="004A7BAA">
      <w:pPr>
        <w:pStyle w:val="Numberlist-level1"/>
      </w:pPr>
      <w:r w:rsidRPr="004A7BAA">
        <w:t xml:space="preserve">If applicable, provide a response to the survey feedback on List B of the TMC.  Describe </w:t>
      </w:r>
      <w:r w:rsidR="002D7E01" w:rsidRPr="004A7BAA">
        <w:t>any changes to the List B section of the TMC</w:t>
      </w:r>
      <w:r w:rsidRPr="004A7BAA">
        <w:t>.</w:t>
      </w:r>
      <w:r w:rsidR="002D7E01" w:rsidRPr="004A7BAA">
        <w:t xml:space="preserve"> </w:t>
      </w:r>
    </w:p>
    <w:p w:rsidR="002D7E01" w:rsidRPr="004A7BAA" w:rsidRDefault="00353A19" w:rsidP="002D7E01">
      <w:pPr>
        <w:rPr>
          <w:b/>
          <w:color w:val="002060"/>
        </w:rPr>
      </w:pPr>
      <w:r>
        <w:rPr>
          <w:b/>
          <w:color w:val="002060"/>
        </w:rPr>
        <w:t xml:space="preserve"> </w:t>
      </w:r>
      <w:r w:rsidR="00EA6C59">
        <w:rPr>
          <w:b/>
          <w:color w:val="002060"/>
        </w:rPr>
        <w:t>No changes</w:t>
      </w:r>
    </w:p>
    <w:p w:rsidR="002D7E01" w:rsidRPr="004A7BAA" w:rsidRDefault="002D7E01" w:rsidP="004A7BAA">
      <w:pPr>
        <w:pStyle w:val="Numberlist-level1"/>
      </w:pPr>
      <w:r w:rsidRPr="004A7BAA">
        <w:t xml:space="preserve">5. </w:t>
      </w:r>
      <w:r w:rsidR="003458AF" w:rsidRPr="004A7BAA">
        <w:t>If applicable, provide a response to the survey feedback on List C of the TMC.  Describe any changes to the List C section of the TMC.</w:t>
      </w:r>
      <w:r w:rsidRPr="004A7BAA">
        <w:t xml:space="preserve"> </w:t>
      </w:r>
    </w:p>
    <w:p w:rsidR="00EA6C59" w:rsidRDefault="00353A19" w:rsidP="002D7E01">
      <w:pPr>
        <w:rPr>
          <w:b/>
          <w:color w:val="002060"/>
        </w:rPr>
      </w:pPr>
      <w:r w:rsidRPr="002C0CD9">
        <w:rPr>
          <w:b/>
          <w:color w:val="002060"/>
        </w:rPr>
        <w:t xml:space="preserve"> </w:t>
      </w:r>
      <w:r w:rsidR="00EA6C59">
        <w:rPr>
          <w:b/>
          <w:color w:val="002060"/>
        </w:rPr>
        <w:t xml:space="preserve">FDRG recommendations: </w:t>
      </w:r>
    </w:p>
    <w:p w:rsidR="002D7E01" w:rsidRPr="004A7BAA" w:rsidRDefault="00EA6C59" w:rsidP="002D7E01">
      <w:pPr>
        <w:numPr>
          <w:ilvl w:val="0"/>
          <w:numId w:val="7"/>
        </w:numPr>
        <w:rPr>
          <w:b/>
          <w:color w:val="002060"/>
        </w:rPr>
      </w:pPr>
      <w:r>
        <w:rPr>
          <w:b/>
          <w:color w:val="002060"/>
        </w:rPr>
        <w:t xml:space="preserve">Add </w:t>
      </w:r>
      <w:r w:rsidR="008225ED">
        <w:rPr>
          <w:b/>
          <w:color w:val="002060"/>
        </w:rPr>
        <w:t>Social Media course as an example into List C</w:t>
      </w:r>
    </w:p>
    <w:p w:rsidR="002D7E01" w:rsidRPr="002C0CD9" w:rsidRDefault="002D7E01" w:rsidP="004A7BAA">
      <w:pPr>
        <w:pStyle w:val="Numberlist-level1"/>
      </w:pPr>
      <w:r w:rsidRPr="002C0CD9">
        <w:lastRenderedPageBreak/>
        <w:t xml:space="preserve">Please provide any </w:t>
      </w:r>
      <w:r w:rsidR="003458AF" w:rsidRPr="002C0CD9">
        <w:t xml:space="preserve">other comments </w:t>
      </w:r>
      <w:r w:rsidRPr="002C0CD9">
        <w:t xml:space="preserve">from the feedback received from the vetting. </w:t>
      </w:r>
      <w:r w:rsidR="00CC480C" w:rsidRPr="002C0CD9">
        <w:t>If applicable, are there notes or other guidance (e.g. example course descriptions) that will be added to the updated TMC?</w:t>
      </w:r>
    </w:p>
    <w:p w:rsidR="00EA6C59" w:rsidRDefault="00EA6C59" w:rsidP="002D7E01">
      <w:pPr>
        <w:rPr>
          <w:b/>
          <w:color w:val="002060"/>
        </w:rPr>
      </w:pPr>
      <w:r>
        <w:rPr>
          <w:b/>
          <w:color w:val="002060"/>
        </w:rPr>
        <w:t>FDRG recommendations:</w:t>
      </w:r>
    </w:p>
    <w:p w:rsidR="00DE1F66" w:rsidRDefault="00EA6C59" w:rsidP="002D7E01">
      <w:pPr>
        <w:numPr>
          <w:ilvl w:val="0"/>
          <w:numId w:val="6"/>
        </w:numPr>
      </w:pPr>
      <w:r>
        <w:rPr>
          <w:b/>
          <w:color w:val="002060"/>
        </w:rPr>
        <w:t>Add culturally-relevant and anti-racist course content</w:t>
      </w:r>
      <w:r w:rsidR="004F7A7A">
        <w:rPr>
          <w:b/>
          <w:color w:val="002060"/>
        </w:rPr>
        <w:t xml:space="preserve"> and/or objectives</w:t>
      </w:r>
      <w:r>
        <w:rPr>
          <w:b/>
          <w:color w:val="002060"/>
        </w:rPr>
        <w:t xml:space="preserve"> into the descriptors of all of the C-ID courses</w:t>
      </w:r>
    </w:p>
    <w:p w:rsidR="00DE1F66" w:rsidRPr="004A7BAA" w:rsidRDefault="00DE1F66" w:rsidP="004A7BAA">
      <w:pPr>
        <w:pStyle w:val="Numberlist-level1"/>
      </w:pPr>
      <w:r w:rsidRPr="004A7BAA">
        <w:t>W</w:t>
      </w:r>
      <w:r w:rsidR="00473891" w:rsidRPr="004A7BAA">
        <w:t>hat are the</w:t>
      </w:r>
      <w:r w:rsidR="00CF5BE2" w:rsidRPr="004A7BAA">
        <w:t xml:space="preserve"> survey</w:t>
      </w:r>
      <w:r w:rsidRPr="004A7BAA">
        <w:t xml:space="preserve"> </w:t>
      </w:r>
      <w:r w:rsidR="00473891" w:rsidRPr="004A7BAA">
        <w:t>recommendations</w:t>
      </w:r>
      <w:r w:rsidRPr="004A7BAA">
        <w:t xml:space="preserve"> on how culturally-relevant and anti-racist course content, textbooks, and assessments can be included into the C-ID descriptors</w:t>
      </w:r>
      <w:r w:rsidR="00CF5BE2" w:rsidRPr="004A7BAA">
        <w:t xml:space="preserve"> and/or TMC</w:t>
      </w:r>
      <w:r w:rsidRPr="004A7BAA">
        <w:t>?</w:t>
      </w:r>
      <w:r w:rsidR="005B4FE0" w:rsidRPr="004A7BAA">
        <w:t xml:space="preserve"> </w:t>
      </w:r>
      <w:r w:rsidR="00473891" w:rsidRPr="004A7BAA">
        <w:t>Did the FDRG agree with the recommendations? If not, please explain.</w:t>
      </w:r>
    </w:p>
    <w:p w:rsidR="00EA6C59" w:rsidRPr="004A7BAA" w:rsidRDefault="00EA6C59" w:rsidP="004A7BAA">
      <w:pPr>
        <w:pStyle w:val="Heading4"/>
        <w:numPr>
          <w:ilvl w:val="0"/>
          <w:numId w:val="6"/>
        </w:numPr>
        <w:shd w:val="clear" w:color="auto" w:fill="FFFFFF"/>
        <w:spacing w:before="0" w:beforeAutospacing="0" w:after="120" w:afterAutospacing="0"/>
        <w:rPr>
          <w:rFonts w:ascii="Arial" w:hAnsi="Arial" w:cs="Arial"/>
          <w:color w:val="1F3864"/>
          <w:szCs w:val="22"/>
          <w:bdr w:val="none" w:sz="0" w:space="0" w:color="auto" w:frame="1"/>
        </w:rPr>
      </w:pPr>
      <w:r w:rsidRPr="00846314">
        <w:rPr>
          <w:rFonts w:ascii="Arial" w:hAnsi="Arial" w:cs="Arial"/>
          <w:color w:val="1F3864"/>
          <w:szCs w:val="22"/>
          <w:bdr w:val="none" w:sz="0" w:space="0" w:color="auto" w:frame="1"/>
        </w:rPr>
        <w:t xml:space="preserve">The FDRG agreed with </w:t>
      </w:r>
      <w:r w:rsidR="00907B78" w:rsidRPr="00846314">
        <w:rPr>
          <w:rFonts w:ascii="Arial" w:hAnsi="Arial" w:cs="Arial"/>
          <w:color w:val="1F3864"/>
          <w:szCs w:val="22"/>
          <w:bdr w:val="none" w:sz="0" w:space="0" w:color="auto" w:frame="1"/>
        </w:rPr>
        <w:t xml:space="preserve">and expanded upon </w:t>
      </w:r>
      <w:r w:rsidRPr="00846314">
        <w:rPr>
          <w:rFonts w:ascii="Arial" w:hAnsi="Arial" w:cs="Arial"/>
          <w:color w:val="1F3864"/>
          <w:szCs w:val="22"/>
          <w:bdr w:val="none" w:sz="0" w:space="0" w:color="auto" w:frame="1"/>
        </w:rPr>
        <w:t>the culturally-relevant and anti-racist suggestions made by the respondents</w:t>
      </w:r>
      <w:r w:rsidR="00907B78" w:rsidRPr="00846314">
        <w:rPr>
          <w:rFonts w:ascii="Arial" w:hAnsi="Arial" w:cs="Arial"/>
          <w:color w:val="1F3864"/>
          <w:szCs w:val="22"/>
          <w:bdr w:val="none" w:sz="0" w:space="0" w:color="auto" w:frame="1"/>
        </w:rPr>
        <w:t xml:space="preserve"> by including “race/ethnicity, gender, class, sexual orientation and ability” into the statements</w:t>
      </w:r>
    </w:p>
    <w:p w:rsidR="00473891" w:rsidRDefault="00473891" w:rsidP="004A7BAA">
      <w:pPr>
        <w:rPr>
          <w:b/>
          <w:bCs/>
          <w:bdr w:val="none" w:sz="0" w:space="0" w:color="auto" w:frame="1"/>
        </w:rPr>
      </w:pPr>
      <w:r w:rsidRPr="00473891">
        <w:rPr>
          <w:bdr w:val="none" w:sz="0" w:space="0" w:color="auto" w:frame="1"/>
        </w:rPr>
        <w:t>Where in the course descriptors and/or the TMC is evidence of culturally relevant curricular design?  If there is no evidence, explain how the FDRG discussed the relevance and inclusion of cultural relevancy.</w:t>
      </w:r>
    </w:p>
    <w:p w:rsidR="00EA6C59" w:rsidRDefault="00EA6C59" w:rsidP="00EA6C59">
      <w:pPr>
        <w:numPr>
          <w:ilvl w:val="0"/>
          <w:numId w:val="6"/>
        </w:numPr>
      </w:pPr>
      <w:r>
        <w:rPr>
          <w:b/>
          <w:color w:val="002060"/>
        </w:rPr>
        <w:t>Added culturally-relevant and anti-racist course content into the descriptors of all of the C-ID courses</w:t>
      </w:r>
    </w:p>
    <w:p w:rsidR="00907B78" w:rsidRPr="004A7BAA" w:rsidRDefault="00DE1F66" w:rsidP="004A7BAA">
      <w:pPr>
        <w:pStyle w:val="Numberlist-level1"/>
        <w:rPr>
          <w:rStyle w:val="user-generated"/>
        </w:rPr>
      </w:pPr>
      <w:r w:rsidRPr="004A7BAA">
        <w:t>8. W</w:t>
      </w:r>
      <w:r w:rsidR="00473891" w:rsidRPr="004A7BAA">
        <w:t>hat</w:t>
      </w:r>
      <w:r w:rsidRPr="004A7BAA">
        <w:rPr>
          <w:rStyle w:val="user-generated"/>
        </w:rPr>
        <w:t xml:space="preserve"> Open Educational Resources (OER) were considered for the descriptors?</w:t>
      </w:r>
      <w:r w:rsidR="00473891" w:rsidRPr="004A7BAA">
        <w:rPr>
          <w:rStyle w:val="user-generated"/>
        </w:rPr>
        <w:t xml:space="preserve"> W</w:t>
      </w:r>
      <w:r w:rsidRPr="004A7BAA">
        <w:rPr>
          <w:rStyle w:val="user-generated"/>
        </w:rPr>
        <w:t>ere any deemed to be appropriate for use with the C-ID descriptors?</w:t>
      </w:r>
      <w:r w:rsidR="00473891" w:rsidRPr="004A7BAA">
        <w:rPr>
          <w:rStyle w:val="user-generated"/>
        </w:rPr>
        <w:t xml:space="preserve"> If not, please provide recommendations for development of appropriate OER in your discipline.</w:t>
      </w:r>
    </w:p>
    <w:p w:rsidR="00907B78" w:rsidRPr="00846314" w:rsidRDefault="00907B78" w:rsidP="00907B78">
      <w:pPr>
        <w:pStyle w:val="Heading4"/>
        <w:numPr>
          <w:ilvl w:val="0"/>
          <w:numId w:val="6"/>
        </w:numPr>
        <w:shd w:val="clear" w:color="auto" w:fill="FFFFFF"/>
        <w:spacing w:before="0" w:beforeAutospacing="0" w:after="0" w:afterAutospacing="0"/>
        <w:rPr>
          <w:rFonts w:ascii="Arial" w:hAnsi="Arial" w:cs="Arial"/>
          <w:color w:val="1F3864"/>
          <w:szCs w:val="22"/>
        </w:rPr>
      </w:pPr>
      <w:r w:rsidRPr="00846314">
        <w:rPr>
          <w:rStyle w:val="user-generated"/>
          <w:rFonts w:ascii="Arial" w:hAnsi="Arial" w:cs="Arial"/>
          <w:color w:val="1F3864"/>
          <w:szCs w:val="22"/>
          <w:bdr w:val="none" w:sz="0" w:space="0" w:color="auto" w:frame="1"/>
        </w:rPr>
        <w:t>There were no OER recommendations made by the respondents, and none were included into the descriptors, because the FDRG group is not aware of any OER for these courses</w:t>
      </w:r>
    </w:p>
    <w:p w:rsidR="002D7E01" w:rsidRPr="004A7BAA" w:rsidRDefault="002D7E01" w:rsidP="004A7BAA">
      <w:pPr>
        <w:pStyle w:val="Heading2"/>
      </w:pPr>
      <w:r w:rsidRPr="004A7BAA">
        <w:t>Descriptor 5-Year Review Summary</w:t>
      </w:r>
    </w:p>
    <w:p w:rsidR="002D7E01" w:rsidRPr="004A7BAA" w:rsidRDefault="002D7E01" w:rsidP="004A7BAA">
      <w:pPr>
        <w:spacing w:after="240"/>
        <w:rPr>
          <w:i/>
        </w:rPr>
      </w:pPr>
      <w:r w:rsidRPr="00107C9C">
        <w:rPr>
          <w:i/>
        </w:rPr>
        <w:t xml:space="preserve">Please provide a written summary of the FDRG’s recommendations for each of the descriptors in the table below.  If there are no changes to the descriptors, you can note this by stating “After a complete review of the descriptor, the FDRG does not propose any changes to the descriptor at this time.”  </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2D7E01" w:rsidRPr="00E1335E" w:rsidTr="004A7BAA">
        <w:trPr>
          <w:tblHeader/>
        </w:trPr>
        <w:tc>
          <w:tcPr>
            <w:tcW w:w="2520" w:type="dxa"/>
            <w:shd w:val="clear" w:color="auto" w:fill="D9D9D9" w:themeFill="background1" w:themeFillShade="D9"/>
          </w:tcPr>
          <w:p w:rsidR="002D7E01" w:rsidRPr="004A7BAA" w:rsidRDefault="002D7E01" w:rsidP="002D7E01">
            <w:pPr>
              <w:rPr>
                <w:b/>
                <w:bCs/>
              </w:rPr>
            </w:pPr>
            <w:r w:rsidRPr="004A7BAA">
              <w:rPr>
                <w:b/>
                <w:bCs/>
              </w:rPr>
              <w:t xml:space="preserve">C-ID Descriptor and Name </w:t>
            </w:r>
          </w:p>
        </w:tc>
        <w:tc>
          <w:tcPr>
            <w:tcW w:w="7380" w:type="dxa"/>
            <w:shd w:val="clear" w:color="auto" w:fill="D9D9D9" w:themeFill="background1" w:themeFillShade="D9"/>
          </w:tcPr>
          <w:p w:rsidR="002D7E01" w:rsidRPr="004A7BAA" w:rsidRDefault="002D7E01" w:rsidP="002D7E01">
            <w:pPr>
              <w:rPr>
                <w:b/>
                <w:bCs/>
              </w:rPr>
            </w:pPr>
            <w:r w:rsidRPr="004A7BAA">
              <w:rPr>
                <w:b/>
                <w:bCs/>
              </w:rPr>
              <w:t>Summary of the FDRG 5-Year Review</w:t>
            </w:r>
            <w:r w:rsidR="003177C1" w:rsidRPr="004A7BAA">
              <w:rPr>
                <w:b/>
                <w:bCs/>
              </w:rPr>
              <w:t xml:space="preserve"> – these changes made on 3/19/21 are in addition to the changes in the 5-year review summary dated 8/22/20</w:t>
            </w:r>
          </w:p>
        </w:tc>
      </w:tr>
      <w:tr w:rsidR="003177C1" w:rsidRPr="00E1335E">
        <w:tc>
          <w:tcPr>
            <w:tcW w:w="2520" w:type="dxa"/>
          </w:tcPr>
          <w:p w:rsidR="003177C1" w:rsidRPr="00E1335E" w:rsidRDefault="003177C1" w:rsidP="003177C1">
            <w:r>
              <w:rPr>
                <w:rFonts w:eastAsia="Arial" w:cs="Arial"/>
                <w:b/>
                <w:color w:val="002060"/>
                <w:szCs w:val="22"/>
              </w:rPr>
              <w:t>FTVE 100 Introduction to Electronic Media</w:t>
            </w:r>
          </w:p>
        </w:tc>
        <w:tc>
          <w:tcPr>
            <w:tcW w:w="7380" w:type="dxa"/>
          </w:tcPr>
          <w:p w:rsidR="004F7A7A" w:rsidRDefault="004F7A7A" w:rsidP="004F7A7A">
            <w:pPr>
              <w:pStyle w:val="NormalWeb"/>
              <w:numPr>
                <w:ilvl w:val="0"/>
                <w:numId w:val="6"/>
              </w:numPr>
              <w:spacing w:before="0" w:beforeAutospacing="0" w:after="0" w:afterAutospacing="0"/>
            </w:pPr>
            <w:r>
              <w:rPr>
                <w:rFonts w:ascii="Arial" w:hAnsi="Arial" w:cs="Arial"/>
                <w:color w:val="333333"/>
                <w:szCs w:val="22"/>
              </w:rPr>
              <w:t>Corrected typo in Course Content #10 (changed “programing” to “programming”)</w:t>
            </w:r>
          </w:p>
          <w:p w:rsidR="004F7A7A" w:rsidRDefault="004F7A7A" w:rsidP="004F7A7A">
            <w:pPr>
              <w:pStyle w:val="NormalWeb"/>
              <w:numPr>
                <w:ilvl w:val="0"/>
                <w:numId w:val="6"/>
              </w:numPr>
              <w:spacing w:before="0" w:beforeAutospacing="0" w:after="0" w:afterAutospacing="0"/>
            </w:pPr>
            <w:r>
              <w:rPr>
                <w:rFonts w:ascii="Arial" w:hAnsi="Arial" w:cs="Arial"/>
                <w:color w:val="333333"/>
                <w:szCs w:val="22"/>
              </w:rPr>
              <w:t>Added content: Media representations of race/ethnicity, gender, class, sexual orientation, and ability will be analyzed.  Moved all others down one step.</w:t>
            </w:r>
          </w:p>
          <w:p w:rsidR="003177C1" w:rsidRPr="004F7A7A" w:rsidRDefault="004F7A7A" w:rsidP="004F7A7A">
            <w:pPr>
              <w:pStyle w:val="NormalWeb"/>
              <w:numPr>
                <w:ilvl w:val="0"/>
                <w:numId w:val="6"/>
              </w:numPr>
              <w:spacing w:before="0" w:beforeAutospacing="0" w:after="0" w:afterAutospacing="0"/>
            </w:pPr>
            <w:r>
              <w:rPr>
                <w:rFonts w:ascii="Arial" w:hAnsi="Arial" w:cs="Arial"/>
                <w:color w:val="333333"/>
                <w:szCs w:val="22"/>
              </w:rPr>
              <w:t>Added Objective: Analyzes issues of race, class and gender as represented in both historic and contemporary media.</w:t>
            </w:r>
          </w:p>
        </w:tc>
      </w:tr>
      <w:tr w:rsidR="003177C1" w:rsidRPr="00E1335E">
        <w:tc>
          <w:tcPr>
            <w:tcW w:w="2520" w:type="dxa"/>
          </w:tcPr>
          <w:p w:rsidR="003177C1" w:rsidRPr="00E1335E" w:rsidRDefault="003177C1" w:rsidP="00D3086D">
            <w:pPr>
              <w:keepNext/>
              <w:keepLines/>
              <w:rPr>
                <w:b/>
              </w:rPr>
            </w:pPr>
            <w:r>
              <w:rPr>
                <w:rFonts w:eastAsia="Arial" w:cs="Arial"/>
                <w:b/>
                <w:color w:val="002060"/>
                <w:szCs w:val="22"/>
              </w:rPr>
              <w:lastRenderedPageBreak/>
              <w:t>FTVE 105 Introduction to Media Aesthetics and Cinematic Arts</w:t>
            </w:r>
          </w:p>
        </w:tc>
        <w:tc>
          <w:tcPr>
            <w:tcW w:w="7380" w:type="dxa"/>
          </w:tcPr>
          <w:p w:rsidR="003177C1" w:rsidRPr="0071671E" w:rsidRDefault="004D2D72" w:rsidP="00D3086D">
            <w:pPr>
              <w:pStyle w:val="NormalWeb"/>
              <w:keepNext/>
              <w:keepLines/>
              <w:numPr>
                <w:ilvl w:val="0"/>
                <w:numId w:val="12"/>
              </w:numPr>
              <w:spacing w:before="0" w:beforeAutospacing="0" w:after="0" w:afterAutospacing="0"/>
            </w:pPr>
            <w:r>
              <w:rPr>
                <w:rFonts w:ascii="Arial" w:hAnsi="Arial"/>
              </w:rPr>
              <w:t xml:space="preserve">Added content: </w:t>
            </w:r>
            <w:r>
              <w:rPr>
                <w:rFonts w:ascii="Arial" w:hAnsi="Arial" w:cs="Arial"/>
                <w:color w:val="333333"/>
                <w:szCs w:val="22"/>
              </w:rPr>
              <w:t>Analyzes representation of race/ethnicity, gender, class, sexual orientation, and ability. </w:t>
            </w:r>
          </w:p>
        </w:tc>
      </w:tr>
      <w:tr w:rsidR="003177C1" w:rsidRPr="00E1335E">
        <w:tc>
          <w:tcPr>
            <w:tcW w:w="2520" w:type="dxa"/>
          </w:tcPr>
          <w:p w:rsidR="003177C1" w:rsidRPr="00E1335E" w:rsidRDefault="003177C1" w:rsidP="003177C1">
            <w:pPr>
              <w:rPr>
                <w:b/>
              </w:rPr>
            </w:pPr>
            <w:r>
              <w:rPr>
                <w:rFonts w:eastAsia="Arial" w:cs="Arial"/>
                <w:b/>
                <w:color w:val="002060"/>
                <w:szCs w:val="22"/>
              </w:rPr>
              <w:t>FTVE 110 Introduction to Media Writing</w:t>
            </w:r>
          </w:p>
        </w:tc>
        <w:tc>
          <w:tcPr>
            <w:tcW w:w="7380" w:type="dxa"/>
          </w:tcPr>
          <w:p w:rsidR="004F7A7A" w:rsidRDefault="004F7A7A" w:rsidP="004F7A7A">
            <w:pPr>
              <w:pStyle w:val="NormalWeb"/>
              <w:numPr>
                <w:ilvl w:val="0"/>
                <w:numId w:val="6"/>
              </w:numPr>
              <w:spacing w:before="0" w:beforeAutospacing="0" w:after="0" w:afterAutospacing="0"/>
            </w:pPr>
            <w:r>
              <w:rPr>
                <w:rFonts w:ascii="Arial" w:hAnsi="Arial" w:cs="Arial"/>
                <w:color w:val="333333"/>
              </w:rPr>
              <w:t>R</w:t>
            </w:r>
            <w:r>
              <w:rPr>
                <w:rFonts w:ascii="Arial" w:hAnsi="Arial" w:cs="Arial"/>
                <w:color w:val="333333"/>
                <w:szCs w:val="22"/>
              </w:rPr>
              <w:t>emoved “digital” from course objective #2</w:t>
            </w:r>
          </w:p>
          <w:p w:rsidR="003177C1" w:rsidRPr="00E1335E" w:rsidRDefault="004F7A7A" w:rsidP="003177C1">
            <w:pPr>
              <w:pStyle w:val="NormalWeb"/>
              <w:numPr>
                <w:ilvl w:val="0"/>
                <w:numId w:val="6"/>
              </w:numPr>
              <w:spacing w:before="0" w:beforeAutospacing="0" w:after="0" w:afterAutospacing="0"/>
            </w:pPr>
            <w:r>
              <w:rPr>
                <w:rFonts w:ascii="Arial" w:hAnsi="Arial" w:cs="Arial"/>
                <w:color w:val="333333"/>
                <w:szCs w:val="22"/>
              </w:rPr>
              <w:t>Added content: Promotes representation of race/ethnicity, gender, class, sexual orientation, and ability. class and gender as represented in both historic and contemporary media.</w:t>
            </w:r>
          </w:p>
        </w:tc>
      </w:tr>
      <w:tr w:rsidR="003177C1" w:rsidRPr="00E1335E">
        <w:tc>
          <w:tcPr>
            <w:tcW w:w="2520" w:type="dxa"/>
          </w:tcPr>
          <w:p w:rsidR="003177C1" w:rsidRPr="00E1335E" w:rsidRDefault="003177C1" w:rsidP="003177C1">
            <w:pPr>
              <w:rPr>
                <w:b/>
              </w:rPr>
            </w:pPr>
            <w:r>
              <w:rPr>
                <w:rFonts w:eastAsia="Arial" w:cs="Arial"/>
                <w:b/>
                <w:color w:val="002060"/>
                <w:szCs w:val="22"/>
              </w:rPr>
              <w:t>FTVE 115 Introduction to Screenwriting</w:t>
            </w:r>
          </w:p>
        </w:tc>
        <w:tc>
          <w:tcPr>
            <w:tcW w:w="7380" w:type="dxa"/>
          </w:tcPr>
          <w:p w:rsidR="003177C1" w:rsidRPr="00E1335E" w:rsidRDefault="004F7A7A" w:rsidP="003177C1">
            <w:pPr>
              <w:pStyle w:val="NormalWeb"/>
              <w:numPr>
                <w:ilvl w:val="0"/>
                <w:numId w:val="8"/>
              </w:numPr>
              <w:spacing w:before="0" w:beforeAutospacing="0" w:after="0" w:afterAutospacing="0"/>
            </w:pPr>
            <w:r>
              <w:rPr>
                <w:rFonts w:ascii="Arial" w:hAnsi="Arial" w:cs="Arial"/>
                <w:color w:val="333333"/>
                <w:szCs w:val="22"/>
              </w:rPr>
              <w:t>Added content: Promotes representation of race/ethnicity, gender, class, sexual orientation, and ability. </w:t>
            </w:r>
          </w:p>
        </w:tc>
      </w:tr>
      <w:tr w:rsidR="003177C1" w:rsidRPr="00E1335E">
        <w:tc>
          <w:tcPr>
            <w:tcW w:w="2520" w:type="dxa"/>
          </w:tcPr>
          <w:p w:rsidR="003177C1" w:rsidRDefault="003177C1" w:rsidP="003177C1">
            <w:pPr>
              <w:rPr>
                <w:b/>
              </w:rPr>
            </w:pPr>
            <w:r>
              <w:rPr>
                <w:rFonts w:eastAsia="Arial" w:cs="Arial"/>
                <w:b/>
                <w:color w:val="002060"/>
                <w:szCs w:val="22"/>
              </w:rPr>
              <w:t xml:space="preserve">FTVE 120 Beginning Audio Production </w:t>
            </w:r>
          </w:p>
        </w:tc>
        <w:tc>
          <w:tcPr>
            <w:tcW w:w="7380" w:type="dxa"/>
          </w:tcPr>
          <w:p w:rsidR="003177C1" w:rsidRPr="0071671E" w:rsidRDefault="004F7A7A" w:rsidP="003177C1">
            <w:pPr>
              <w:pStyle w:val="NormalWeb"/>
              <w:numPr>
                <w:ilvl w:val="0"/>
                <w:numId w:val="8"/>
              </w:numPr>
              <w:spacing w:before="0" w:beforeAutospacing="0" w:after="0" w:afterAutospacing="0"/>
            </w:pPr>
            <w:r>
              <w:rPr>
                <w:rFonts w:ascii="Arial" w:hAnsi="Arial"/>
              </w:rPr>
              <w:t xml:space="preserve">Added content: </w:t>
            </w:r>
            <w:r>
              <w:rPr>
                <w:rFonts w:ascii="Arial" w:hAnsi="Arial" w:cs="Arial"/>
                <w:color w:val="333333"/>
                <w:szCs w:val="22"/>
              </w:rPr>
              <w:t>Analyzes representation of race/ethnicity, gender, class, sexual orientation, and ability. </w:t>
            </w:r>
          </w:p>
        </w:tc>
      </w:tr>
      <w:tr w:rsidR="003177C1" w:rsidRPr="00E1335E">
        <w:tc>
          <w:tcPr>
            <w:tcW w:w="2520" w:type="dxa"/>
          </w:tcPr>
          <w:p w:rsidR="003177C1" w:rsidRDefault="003177C1" w:rsidP="003177C1">
            <w:pPr>
              <w:rPr>
                <w:b/>
              </w:rPr>
            </w:pPr>
            <w:r>
              <w:rPr>
                <w:rFonts w:eastAsia="Arial" w:cs="Arial"/>
                <w:b/>
                <w:color w:val="002060"/>
                <w:szCs w:val="22"/>
              </w:rPr>
              <w:t xml:space="preserve">FTVE 125 Beginning Radio Production </w:t>
            </w:r>
          </w:p>
        </w:tc>
        <w:tc>
          <w:tcPr>
            <w:tcW w:w="7380" w:type="dxa"/>
          </w:tcPr>
          <w:p w:rsidR="003177C1" w:rsidRDefault="004F7A7A" w:rsidP="003177C1">
            <w:pPr>
              <w:pStyle w:val="NormalWeb"/>
              <w:numPr>
                <w:ilvl w:val="0"/>
                <w:numId w:val="8"/>
              </w:numPr>
              <w:spacing w:before="0" w:beforeAutospacing="0" w:after="0" w:afterAutospacing="0"/>
            </w:pPr>
            <w:r>
              <w:rPr>
                <w:rFonts w:ascii="Arial" w:hAnsi="Arial"/>
              </w:rPr>
              <w:t xml:space="preserve">Added content: </w:t>
            </w:r>
            <w:r>
              <w:rPr>
                <w:rFonts w:ascii="Arial" w:hAnsi="Arial" w:cs="Arial"/>
                <w:color w:val="333333"/>
                <w:szCs w:val="22"/>
              </w:rPr>
              <w:t>Promotes content creation in relation to social justice, race/ethnicity, gender, class, sexual orientation, and ability.</w:t>
            </w:r>
          </w:p>
        </w:tc>
      </w:tr>
      <w:tr w:rsidR="003177C1" w:rsidRPr="00E1335E">
        <w:tc>
          <w:tcPr>
            <w:tcW w:w="2520" w:type="dxa"/>
          </w:tcPr>
          <w:p w:rsidR="003177C1" w:rsidRDefault="003177C1" w:rsidP="003177C1">
            <w:pPr>
              <w:rPr>
                <w:b/>
              </w:rPr>
            </w:pPr>
            <w:r>
              <w:rPr>
                <w:rFonts w:eastAsia="Arial" w:cs="Arial"/>
                <w:b/>
                <w:color w:val="002060"/>
                <w:szCs w:val="22"/>
              </w:rPr>
              <w:t xml:space="preserve">FTVE 130 Beginning Single Camera Production </w:t>
            </w:r>
          </w:p>
        </w:tc>
        <w:tc>
          <w:tcPr>
            <w:tcW w:w="7380" w:type="dxa"/>
          </w:tcPr>
          <w:p w:rsidR="003177C1" w:rsidRDefault="004F7A7A" w:rsidP="003177C1">
            <w:pPr>
              <w:pStyle w:val="NormalWeb"/>
              <w:numPr>
                <w:ilvl w:val="0"/>
                <w:numId w:val="8"/>
              </w:numPr>
              <w:spacing w:before="0" w:beforeAutospacing="0" w:after="0" w:afterAutospacing="0"/>
            </w:pPr>
            <w:r>
              <w:rPr>
                <w:rFonts w:ascii="Arial" w:hAnsi="Arial"/>
              </w:rPr>
              <w:t xml:space="preserve">Added content: </w:t>
            </w:r>
            <w:r>
              <w:rPr>
                <w:rFonts w:ascii="Arial" w:hAnsi="Arial" w:cs="Arial"/>
                <w:color w:val="333333"/>
                <w:szCs w:val="22"/>
              </w:rPr>
              <w:t>Promotes content creation in relation to social justice, race/ethnicity, gender, class, sexual orientation, and ability.</w:t>
            </w:r>
          </w:p>
        </w:tc>
      </w:tr>
      <w:tr w:rsidR="003177C1" w:rsidRPr="00E1335E">
        <w:tc>
          <w:tcPr>
            <w:tcW w:w="2520" w:type="dxa"/>
          </w:tcPr>
          <w:p w:rsidR="003177C1" w:rsidRDefault="003177C1" w:rsidP="003177C1">
            <w:pPr>
              <w:rPr>
                <w:b/>
              </w:rPr>
            </w:pPr>
            <w:r>
              <w:rPr>
                <w:rFonts w:eastAsia="Arial" w:cs="Arial"/>
                <w:b/>
                <w:color w:val="002060"/>
                <w:szCs w:val="22"/>
              </w:rPr>
              <w:t xml:space="preserve">FTVE 135 Beginning TV Studio Production </w:t>
            </w:r>
          </w:p>
        </w:tc>
        <w:tc>
          <w:tcPr>
            <w:tcW w:w="7380" w:type="dxa"/>
          </w:tcPr>
          <w:p w:rsidR="003177C1" w:rsidRDefault="004F7A7A" w:rsidP="003177C1">
            <w:pPr>
              <w:pStyle w:val="NormalWeb"/>
              <w:numPr>
                <w:ilvl w:val="0"/>
                <w:numId w:val="8"/>
              </w:numPr>
              <w:spacing w:before="0" w:beforeAutospacing="0" w:after="0" w:afterAutospacing="0"/>
            </w:pPr>
            <w:r>
              <w:rPr>
                <w:rFonts w:ascii="Arial" w:hAnsi="Arial"/>
              </w:rPr>
              <w:t xml:space="preserve">Added content: </w:t>
            </w:r>
            <w:r>
              <w:rPr>
                <w:rFonts w:ascii="Arial" w:hAnsi="Arial" w:cs="Arial"/>
                <w:color w:val="333333"/>
                <w:szCs w:val="22"/>
              </w:rPr>
              <w:t>Promotes content creation in relation to social justice, race/ethnicity, gender, class, sexual orientation, and ability.</w:t>
            </w:r>
          </w:p>
        </w:tc>
      </w:tr>
      <w:tr w:rsidR="003177C1" w:rsidRPr="00E1335E">
        <w:tc>
          <w:tcPr>
            <w:tcW w:w="2520" w:type="dxa"/>
          </w:tcPr>
          <w:p w:rsidR="003177C1" w:rsidRDefault="003177C1" w:rsidP="003177C1">
            <w:pPr>
              <w:rPr>
                <w:b/>
              </w:rPr>
            </w:pPr>
            <w:r>
              <w:rPr>
                <w:rFonts w:eastAsia="Arial" w:cs="Arial"/>
                <w:b/>
                <w:color w:val="002060"/>
                <w:szCs w:val="22"/>
              </w:rPr>
              <w:t>FTVE 150 Beginning Motion Picture Production</w:t>
            </w:r>
          </w:p>
        </w:tc>
        <w:tc>
          <w:tcPr>
            <w:tcW w:w="7380" w:type="dxa"/>
          </w:tcPr>
          <w:p w:rsidR="004F7A7A" w:rsidRDefault="004F7A7A" w:rsidP="004F7A7A">
            <w:pPr>
              <w:pStyle w:val="NormalWeb"/>
              <w:numPr>
                <w:ilvl w:val="0"/>
                <w:numId w:val="8"/>
              </w:numPr>
              <w:spacing w:before="0" w:beforeAutospacing="0" w:after="0" w:afterAutospacing="0"/>
              <w:textAlignment w:val="baseline"/>
              <w:rPr>
                <w:rFonts w:ascii="Arial" w:hAnsi="Arial" w:cs="Arial"/>
                <w:color w:val="333333"/>
                <w:szCs w:val="22"/>
              </w:rPr>
            </w:pPr>
            <w:r>
              <w:rPr>
                <w:rFonts w:ascii="Arial" w:hAnsi="Arial" w:cs="Arial"/>
                <w:color w:val="333333"/>
                <w:szCs w:val="22"/>
              </w:rPr>
              <w:t>Changed content bullet #3 “such as lens operation, interchangeable lenses…”</w:t>
            </w:r>
          </w:p>
          <w:p w:rsidR="004F7A7A" w:rsidRPr="004D2D72" w:rsidRDefault="004F7A7A" w:rsidP="004F7A7A">
            <w:pPr>
              <w:pStyle w:val="NormalWeb"/>
              <w:numPr>
                <w:ilvl w:val="0"/>
                <w:numId w:val="8"/>
              </w:numPr>
              <w:spacing w:before="0" w:beforeAutospacing="0" w:after="0" w:afterAutospacing="0"/>
              <w:textAlignment w:val="baseline"/>
              <w:rPr>
                <w:rFonts w:ascii="Arial" w:hAnsi="Arial" w:cs="Arial"/>
                <w:color w:val="333333"/>
                <w:szCs w:val="22"/>
              </w:rPr>
            </w:pPr>
            <w:r>
              <w:rPr>
                <w:rFonts w:ascii="Arial" w:hAnsi="Arial" w:cs="Arial"/>
                <w:color w:val="333333"/>
                <w:szCs w:val="22"/>
              </w:rPr>
              <w:t>Changed description: "This course provides an introduction to the basic theory, terminology, and practice of motion picture production as applied in feature films, and films made for television and internet through developed skill sets, and teamwork in pre-production, production, and post-production processes."</w:t>
            </w:r>
          </w:p>
          <w:p w:rsidR="003177C1" w:rsidRDefault="004F7A7A" w:rsidP="004D2D72">
            <w:pPr>
              <w:pStyle w:val="NormalWeb"/>
              <w:numPr>
                <w:ilvl w:val="0"/>
                <w:numId w:val="8"/>
              </w:numPr>
              <w:spacing w:before="0" w:beforeAutospacing="0" w:after="0" w:afterAutospacing="0"/>
              <w:textAlignment w:val="baseline"/>
              <w:rPr>
                <w:rFonts w:ascii="Arial" w:hAnsi="Arial" w:cs="Arial"/>
                <w:color w:val="333333"/>
                <w:szCs w:val="22"/>
              </w:rPr>
            </w:pPr>
            <w:r>
              <w:rPr>
                <w:rFonts w:ascii="Arial" w:hAnsi="Arial" w:cs="Arial"/>
                <w:color w:val="333333"/>
                <w:szCs w:val="22"/>
              </w:rPr>
              <w:t xml:space="preserve">Added “basics” to </w:t>
            </w:r>
            <w:r w:rsidR="004D2D72">
              <w:rPr>
                <w:rFonts w:ascii="Arial" w:hAnsi="Arial" w:cs="Arial"/>
                <w:color w:val="333333"/>
                <w:szCs w:val="22"/>
              </w:rPr>
              <w:t xml:space="preserve">“screenwriting basics” in </w:t>
            </w:r>
            <w:r>
              <w:rPr>
                <w:rFonts w:ascii="Arial" w:hAnsi="Arial" w:cs="Arial"/>
                <w:color w:val="333333"/>
                <w:szCs w:val="22"/>
              </w:rPr>
              <w:t>Content bullet point #1</w:t>
            </w:r>
          </w:p>
          <w:p w:rsidR="004D2D72" w:rsidRPr="004D2D72" w:rsidRDefault="004D2D72" w:rsidP="004D2D72">
            <w:pPr>
              <w:pStyle w:val="NormalWeb"/>
              <w:numPr>
                <w:ilvl w:val="0"/>
                <w:numId w:val="8"/>
              </w:numPr>
              <w:spacing w:before="0" w:beforeAutospacing="0" w:after="0" w:afterAutospacing="0"/>
            </w:pPr>
            <w:r>
              <w:rPr>
                <w:rFonts w:ascii="Arial" w:hAnsi="Arial" w:cs="Arial"/>
                <w:color w:val="333333"/>
                <w:szCs w:val="22"/>
              </w:rPr>
              <w:t>Added content: Add content bullet: Promotes content creation in relation to social justice, race/ethnicity, gender, class, sexual orientation, and ability.</w:t>
            </w:r>
          </w:p>
        </w:tc>
      </w:tr>
    </w:tbl>
    <w:p w:rsidR="00DE1F66" w:rsidRPr="001D4C91" w:rsidRDefault="00DE1F66" w:rsidP="002C0CD9"/>
    <w:sectPr w:rsidR="00DE1F66" w:rsidRPr="001D4C91" w:rsidSect="004A7BAA">
      <w:footerReference w:type="even" r:id="rId9"/>
      <w:footerReference w:type="default" r:id="rId10"/>
      <w:pgSz w:w="12240" w:h="15840"/>
      <w:pgMar w:top="145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2CE" w:rsidRDefault="00F432CE">
      <w:r>
        <w:separator/>
      </w:r>
    </w:p>
  </w:endnote>
  <w:endnote w:type="continuationSeparator" w:id="0">
    <w:p w:rsidR="00F432CE" w:rsidRDefault="00F4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Default="002D7E01" w:rsidP="002D7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E01" w:rsidRDefault="002D7E01" w:rsidP="002D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7E01" w:rsidRPr="00D90972" w:rsidRDefault="002D7E01" w:rsidP="002D7E01">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Pr>
        <w:rStyle w:val="PageNumber"/>
        <w:noProof/>
      </w:rPr>
      <w:t>1</w:t>
    </w:r>
    <w:r w:rsidRPr="00D90972">
      <w:rPr>
        <w:rStyle w:val="PageNumber"/>
      </w:rPr>
      <w:fldChar w:fldCharType="end"/>
    </w:r>
  </w:p>
  <w:p w:rsidR="002D7E01" w:rsidRDefault="002D7E01" w:rsidP="002D7E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2CE" w:rsidRDefault="00F432CE">
      <w:r>
        <w:separator/>
      </w:r>
    </w:p>
  </w:footnote>
  <w:footnote w:type="continuationSeparator" w:id="0">
    <w:p w:rsidR="00F432CE" w:rsidRDefault="00F43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D6"/>
    <w:multiLevelType w:val="hybridMultilevel"/>
    <w:tmpl w:val="C7CE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A6E83"/>
    <w:multiLevelType w:val="hybridMultilevel"/>
    <w:tmpl w:val="F49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F286F"/>
    <w:multiLevelType w:val="hybridMultilevel"/>
    <w:tmpl w:val="E4B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49D6"/>
    <w:multiLevelType w:val="hybridMultilevel"/>
    <w:tmpl w:val="B50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1B65D1E"/>
    <w:multiLevelType w:val="hybridMultilevel"/>
    <w:tmpl w:val="309AD966"/>
    <w:lvl w:ilvl="0" w:tplc="BDD2960A">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6428A"/>
    <w:multiLevelType w:val="hybridMultilevel"/>
    <w:tmpl w:val="B59E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31F45"/>
    <w:multiLevelType w:val="hybridMultilevel"/>
    <w:tmpl w:val="831A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24984"/>
    <w:multiLevelType w:val="multilevel"/>
    <w:tmpl w:val="01C8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472C1"/>
    <w:multiLevelType w:val="hybridMultilevel"/>
    <w:tmpl w:val="45B6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308E8"/>
    <w:multiLevelType w:val="hybridMultilevel"/>
    <w:tmpl w:val="D1D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02988"/>
    <w:multiLevelType w:val="multilevel"/>
    <w:tmpl w:val="0ADC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65376"/>
    <w:multiLevelType w:val="multilevel"/>
    <w:tmpl w:val="52D6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913D5"/>
    <w:multiLevelType w:val="hybridMultilevel"/>
    <w:tmpl w:val="07DE4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54763876">
    <w:abstractNumId w:val="2"/>
  </w:num>
  <w:num w:numId="2" w16cid:durableId="1365790911">
    <w:abstractNumId w:val="16"/>
  </w:num>
  <w:num w:numId="3" w16cid:durableId="1790927919">
    <w:abstractNumId w:val="14"/>
  </w:num>
  <w:num w:numId="4" w16cid:durableId="700935635">
    <w:abstractNumId w:val="5"/>
  </w:num>
  <w:num w:numId="5" w16cid:durableId="420613025">
    <w:abstractNumId w:val="1"/>
  </w:num>
  <w:num w:numId="6" w16cid:durableId="1182747498">
    <w:abstractNumId w:val="10"/>
  </w:num>
  <w:num w:numId="7" w16cid:durableId="1721592562">
    <w:abstractNumId w:val="11"/>
  </w:num>
  <w:num w:numId="8" w16cid:durableId="138351245">
    <w:abstractNumId w:val="7"/>
  </w:num>
  <w:num w:numId="9" w16cid:durableId="1501772973">
    <w:abstractNumId w:val="9"/>
  </w:num>
  <w:num w:numId="10" w16cid:durableId="1906068300">
    <w:abstractNumId w:val="12"/>
  </w:num>
  <w:num w:numId="11" w16cid:durableId="1724478261">
    <w:abstractNumId w:val="13"/>
  </w:num>
  <w:num w:numId="12" w16cid:durableId="146825826">
    <w:abstractNumId w:val="3"/>
  </w:num>
  <w:num w:numId="13" w16cid:durableId="671831762">
    <w:abstractNumId w:val="6"/>
  </w:num>
  <w:num w:numId="14" w16cid:durableId="1239368694">
    <w:abstractNumId w:val="15"/>
  </w:num>
  <w:num w:numId="15" w16cid:durableId="1043750973">
    <w:abstractNumId w:val="8"/>
  </w:num>
  <w:num w:numId="16" w16cid:durableId="287471912">
    <w:abstractNumId w:val="6"/>
  </w:num>
  <w:num w:numId="17" w16cid:durableId="137455646">
    <w:abstractNumId w:val="0"/>
  </w:num>
  <w:num w:numId="18" w16cid:durableId="197140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3381A"/>
    <w:rsid w:val="00044FF8"/>
    <w:rsid w:val="000F6420"/>
    <w:rsid w:val="001669EA"/>
    <w:rsid w:val="00190355"/>
    <w:rsid w:val="0025291C"/>
    <w:rsid w:val="002A32B6"/>
    <w:rsid w:val="002C0CD9"/>
    <w:rsid w:val="002D6724"/>
    <w:rsid w:val="002D7E01"/>
    <w:rsid w:val="003177C1"/>
    <w:rsid w:val="003458AF"/>
    <w:rsid w:val="00353A19"/>
    <w:rsid w:val="00414A3C"/>
    <w:rsid w:val="00473891"/>
    <w:rsid w:val="004A7BAA"/>
    <w:rsid w:val="004D2D72"/>
    <w:rsid w:val="004F7A7A"/>
    <w:rsid w:val="00544041"/>
    <w:rsid w:val="005B4FE0"/>
    <w:rsid w:val="005D526A"/>
    <w:rsid w:val="005E2D4D"/>
    <w:rsid w:val="005F4554"/>
    <w:rsid w:val="006176DA"/>
    <w:rsid w:val="006B1BD1"/>
    <w:rsid w:val="0071671E"/>
    <w:rsid w:val="00747A93"/>
    <w:rsid w:val="00761809"/>
    <w:rsid w:val="00773AEB"/>
    <w:rsid w:val="007E4BA4"/>
    <w:rsid w:val="008225ED"/>
    <w:rsid w:val="008262A6"/>
    <w:rsid w:val="00846314"/>
    <w:rsid w:val="008C343E"/>
    <w:rsid w:val="008F277E"/>
    <w:rsid w:val="00907B78"/>
    <w:rsid w:val="00985E30"/>
    <w:rsid w:val="009A0A00"/>
    <w:rsid w:val="00A41F65"/>
    <w:rsid w:val="00A532B0"/>
    <w:rsid w:val="00B60007"/>
    <w:rsid w:val="00B726B9"/>
    <w:rsid w:val="00BB3679"/>
    <w:rsid w:val="00C70C4D"/>
    <w:rsid w:val="00C71425"/>
    <w:rsid w:val="00CC480C"/>
    <w:rsid w:val="00CE6F8E"/>
    <w:rsid w:val="00CF5BE2"/>
    <w:rsid w:val="00D3086D"/>
    <w:rsid w:val="00DE1F66"/>
    <w:rsid w:val="00E73EBC"/>
    <w:rsid w:val="00E96A24"/>
    <w:rsid w:val="00EA6C59"/>
    <w:rsid w:val="00F359A6"/>
    <w:rsid w:val="00F432CE"/>
    <w:rsid w:val="00FB6C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594FC0"/>
  <w15:chartTrackingRefBased/>
  <w15:docId w15:val="{8CCB23F8-9EF7-C844-9E1B-1CF9DAC3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BAA"/>
    <w:pPr>
      <w:spacing w:after="120"/>
    </w:pPr>
    <w:rPr>
      <w:rFonts w:ascii="Arial" w:hAnsi="Arial"/>
      <w:sz w:val="22"/>
      <w:szCs w:val="24"/>
    </w:rPr>
  </w:style>
  <w:style w:type="paragraph" w:styleId="Heading1">
    <w:name w:val="heading 1"/>
    <w:basedOn w:val="Normal"/>
    <w:next w:val="Normal"/>
    <w:link w:val="Heading1Char"/>
    <w:qFormat/>
    <w:rsid w:val="004A7BAA"/>
    <w:pPr>
      <w:keepNext/>
      <w:spacing w:before="200" w:after="50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4A7BAA"/>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4A7BAA"/>
    <w:pPr>
      <w:keepNext/>
      <w:keepLines/>
      <w:spacing w:before="40" w:after="100"/>
      <w:outlineLvl w:val="2"/>
    </w:pPr>
    <w:rPr>
      <w:rFonts w:eastAsiaTheme="majorEastAsia" w:cs="Arial"/>
      <w:b/>
      <w:bCs/>
      <w:color w:val="000000" w:themeColor="text1"/>
      <w:sz w:val="24"/>
    </w:rPr>
  </w:style>
  <w:style w:type="paragraph" w:styleId="Heading4">
    <w:name w:val="heading 4"/>
    <w:basedOn w:val="Normal"/>
    <w:link w:val="Heading4Char"/>
    <w:uiPriority w:val="9"/>
    <w:qFormat/>
    <w:rsid w:val="00DE1F66"/>
    <w:pPr>
      <w:spacing w:before="100" w:beforeAutospacing="1" w:after="100" w:afterAutospacing="1"/>
      <w:outlineLvl w:val="3"/>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level1">
    <w:name w:val="Number list - level 1"/>
    <w:basedOn w:val="Normal"/>
    <w:qFormat/>
    <w:rsid w:val="004A7BAA"/>
    <w:pPr>
      <w:numPr>
        <w:numId w:val="16"/>
      </w:numPr>
      <w:spacing w:before="240"/>
      <w:ind w:left="360"/>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90972"/>
    <w:pPr>
      <w:tabs>
        <w:tab w:val="center" w:pos="4320"/>
        <w:tab w:val="right" w:pos="8640"/>
      </w:tabs>
    </w:pPr>
  </w:style>
  <w:style w:type="character" w:customStyle="1" w:styleId="HeaderChar">
    <w:name w:val="Header Char"/>
    <w:link w:val="Header"/>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character" w:customStyle="1" w:styleId="Heading4Char">
    <w:name w:val="Heading 4 Char"/>
    <w:link w:val="Heading4"/>
    <w:uiPriority w:val="9"/>
    <w:rsid w:val="00DE1F66"/>
    <w:rPr>
      <w:rFonts w:ascii="Times New Roman" w:eastAsia="Times New Roman" w:hAnsi="Times New Roman"/>
      <w:b/>
      <w:bCs/>
      <w:sz w:val="24"/>
      <w:szCs w:val="24"/>
    </w:rPr>
  </w:style>
  <w:style w:type="character" w:customStyle="1" w:styleId="user-generated">
    <w:name w:val="user-generated"/>
    <w:basedOn w:val="DefaultParagraphFont"/>
    <w:rsid w:val="00DE1F66"/>
  </w:style>
  <w:style w:type="paragraph" w:styleId="BalloonText">
    <w:name w:val="Balloon Text"/>
    <w:basedOn w:val="Normal"/>
    <w:link w:val="BalloonTextChar"/>
    <w:rsid w:val="002C0CD9"/>
    <w:rPr>
      <w:rFonts w:ascii="Segoe UI" w:hAnsi="Segoe UI" w:cs="Segoe UI"/>
      <w:sz w:val="18"/>
      <w:szCs w:val="18"/>
    </w:rPr>
  </w:style>
  <w:style w:type="character" w:customStyle="1" w:styleId="BalloonTextChar">
    <w:name w:val="Balloon Text Char"/>
    <w:link w:val="BalloonText"/>
    <w:rsid w:val="002C0CD9"/>
    <w:rPr>
      <w:rFonts w:ascii="Segoe UI" w:hAnsi="Segoe UI" w:cs="Segoe UI"/>
      <w:sz w:val="18"/>
      <w:szCs w:val="18"/>
    </w:rPr>
  </w:style>
  <w:style w:type="paragraph" w:styleId="ListParagraph">
    <w:name w:val="List Paragraph"/>
    <w:basedOn w:val="Normal"/>
    <w:qFormat/>
    <w:rsid w:val="00EA6C59"/>
    <w:pPr>
      <w:ind w:left="720"/>
    </w:pPr>
  </w:style>
  <w:style w:type="paragraph" w:styleId="NormalWeb">
    <w:name w:val="Normal (Web)"/>
    <w:basedOn w:val="Normal"/>
    <w:uiPriority w:val="99"/>
    <w:unhideWhenUsed/>
    <w:rsid w:val="004F7A7A"/>
    <w:pPr>
      <w:spacing w:before="100" w:beforeAutospacing="1" w:after="100" w:afterAutospacing="1"/>
    </w:pPr>
    <w:rPr>
      <w:rFonts w:ascii="Times New Roman" w:eastAsia="Times New Roman" w:hAnsi="Times New Roman"/>
    </w:rPr>
  </w:style>
  <w:style w:type="character" w:customStyle="1" w:styleId="Heading1Char">
    <w:name w:val="Heading 1 Char"/>
    <w:link w:val="Heading1"/>
    <w:rsid w:val="004A7BAA"/>
    <w:rPr>
      <w:rFonts w:ascii="Calibri Light" w:eastAsia="Times New Roman" w:hAnsi="Calibri Light"/>
      <w:b/>
      <w:bCs/>
      <w:kern w:val="32"/>
      <w:sz w:val="32"/>
      <w:szCs w:val="32"/>
    </w:rPr>
  </w:style>
  <w:style w:type="character" w:customStyle="1" w:styleId="Heading2Char">
    <w:name w:val="Heading 2 Char"/>
    <w:link w:val="Heading2"/>
    <w:rsid w:val="004A7BAA"/>
    <w:rPr>
      <w:rFonts w:ascii="Arial" w:eastAsia="Times New Roman" w:hAnsi="Arial"/>
      <w:b/>
      <w:bCs/>
      <w:iCs/>
      <w:sz w:val="26"/>
      <w:szCs w:val="26"/>
    </w:rPr>
  </w:style>
  <w:style w:type="character" w:customStyle="1" w:styleId="Heading3Char">
    <w:name w:val="Heading 3 Char"/>
    <w:basedOn w:val="DefaultParagraphFont"/>
    <w:link w:val="Heading3"/>
    <w:rsid w:val="004A7BAA"/>
    <w:rPr>
      <w:rFonts w:ascii="Arial" w:eastAsiaTheme="majorEastAsia" w:hAnsi="Arial" w:cs="Arial"/>
      <w:b/>
      <w:bCs/>
      <w:color w:val="000000" w:themeColor="text1"/>
      <w:sz w:val="24"/>
      <w:szCs w:val="24"/>
    </w:rPr>
  </w:style>
  <w:style w:type="character" w:styleId="Hyperlink">
    <w:name w:val="Hyperlink"/>
    <w:rsid w:val="004A7BAA"/>
    <w:rPr>
      <w:color w:val="4472C4"/>
      <w:u w:val="single"/>
    </w:rPr>
  </w:style>
  <w:style w:type="character" w:styleId="UnresolvedMention">
    <w:name w:val="Unresolved Mention"/>
    <w:basedOn w:val="DefaultParagraphFont"/>
    <w:uiPriority w:val="99"/>
    <w:semiHidden/>
    <w:unhideWhenUsed/>
    <w:rsid w:val="00D3086D"/>
    <w:rPr>
      <w:color w:val="605E5C"/>
      <w:shd w:val="clear" w:color="auto" w:fill="E1DFDD"/>
    </w:rPr>
  </w:style>
  <w:style w:type="character" w:styleId="FollowedHyperlink">
    <w:name w:val="FollowedHyperlink"/>
    <w:basedOn w:val="DefaultParagraphFont"/>
    <w:rsid w:val="00D30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9922">
      <w:bodyDiv w:val="1"/>
      <w:marLeft w:val="0"/>
      <w:marRight w:val="0"/>
      <w:marTop w:val="0"/>
      <w:marBottom w:val="0"/>
      <w:divBdr>
        <w:top w:val="none" w:sz="0" w:space="0" w:color="auto"/>
        <w:left w:val="none" w:sz="0" w:space="0" w:color="auto"/>
        <w:bottom w:val="none" w:sz="0" w:space="0" w:color="auto"/>
        <w:right w:val="none" w:sz="0" w:space="0" w:color="auto"/>
      </w:divBdr>
    </w:div>
    <w:div w:id="239096447">
      <w:bodyDiv w:val="1"/>
      <w:marLeft w:val="0"/>
      <w:marRight w:val="0"/>
      <w:marTop w:val="0"/>
      <w:marBottom w:val="0"/>
      <w:divBdr>
        <w:top w:val="none" w:sz="0" w:space="0" w:color="auto"/>
        <w:left w:val="none" w:sz="0" w:space="0" w:color="auto"/>
        <w:bottom w:val="none" w:sz="0" w:space="0" w:color="auto"/>
        <w:right w:val="none" w:sz="0" w:space="0" w:color="auto"/>
      </w:divBdr>
    </w:div>
    <w:div w:id="532889819">
      <w:bodyDiv w:val="1"/>
      <w:marLeft w:val="0"/>
      <w:marRight w:val="0"/>
      <w:marTop w:val="0"/>
      <w:marBottom w:val="0"/>
      <w:divBdr>
        <w:top w:val="none" w:sz="0" w:space="0" w:color="auto"/>
        <w:left w:val="none" w:sz="0" w:space="0" w:color="auto"/>
        <w:bottom w:val="none" w:sz="0" w:space="0" w:color="auto"/>
        <w:right w:val="none" w:sz="0" w:space="0" w:color="auto"/>
      </w:divBdr>
    </w:div>
    <w:div w:id="570776007">
      <w:bodyDiv w:val="1"/>
      <w:marLeft w:val="0"/>
      <w:marRight w:val="0"/>
      <w:marTop w:val="0"/>
      <w:marBottom w:val="0"/>
      <w:divBdr>
        <w:top w:val="none" w:sz="0" w:space="0" w:color="auto"/>
        <w:left w:val="none" w:sz="0" w:space="0" w:color="auto"/>
        <w:bottom w:val="none" w:sz="0" w:space="0" w:color="auto"/>
        <w:right w:val="none" w:sz="0" w:space="0" w:color="auto"/>
      </w:divBdr>
    </w:div>
    <w:div w:id="624430749">
      <w:bodyDiv w:val="1"/>
      <w:marLeft w:val="0"/>
      <w:marRight w:val="0"/>
      <w:marTop w:val="0"/>
      <w:marBottom w:val="0"/>
      <w:divBdr>
        <w:top w:val="none" w:sz="0" w:space="0" w:color="auto"/>
        <w:left w:val="none" w:sz="0" w:space="0" w:color="auto"/>
        <w:bottom w:val="none" w:sz="0" w:space="0" w:color="auto"/>
        <w:right w:val="none" w:sz="0" w:space="0" w:color="auto"/>
      </w:divBdr>
    </w:div>
    <w:div w:id="808672447">
      <w:bodyDiv w:val="1"/>
      <w:marLeft w:val="0"/>
      <w:marRight w:val="0"/>
      <w:marTop w:val="0"/>
      <w:marBottom w:val="0"/>
      <w:divBdr>
        <w:top w:val="none" w:sz="0" w:space="0" w:color="auto"/>
        <w:left w:val="none" w:sz="0" w:space="0" w:color="auto"/>
        <w:bottom w:val="none" w:sz="0" w:space="0" w:color="auto"/>
        <w:right w:val="none" w:sz="0" w:space="0" w:color="auto"/>
      </w:divBdr>
    </w:div>
    <w:div w:id="844251126">
      <w:bodyDiv w:val="1"/>
      <w:marLeft w:val="0"/>
      <w:marRight w:val="0"/>
      <w:marTop w:val="0"/>
      <w:marBottom w:val="0"/>
      <w:divBdr>
        <w:top w:val="none" w:sz="0" w:space="0" w:color="auto"/>
        <w:left w:val="none" w:sz="0" w:space="0" w:color="auto"/>
        <w:bottom w:val="none" w:sz="0" w:space="0" w:color="auto"/>
        <w:right w:val="none" w:sz="0" w:space="0" w:color="auto"/>
      </w:divBdr>
    </w:div>
    <w:div w:id="997928556">
      <w:bodyDiv w:val="1"/>
      <w:marLeft w:val="0"/>
      <w:marRight w:val="0"/>
      <w:marTop w:val="0"/>
      <w:marBottom w:val="0"/>
      <w:divBdr>
        <w:top w:val="none" w:sz="0" w:space="0" w:color="auto"/>
        <w:left w:val="none" w:sz="0" w:space="0" w:color="auto"/>
        <w:bottom w:val="none" w:sz="0" w:space="0" w:color="auto"/>
        <w:right w:val="none" w:sz="0" w:space="0" w:color="auto"/>
      </w:divBdr>
    </w:div>
    <w:div w:id="1006977616">
      <w:bodyDiv w:val="1"/>
      <w:marLeft w:val="0"/>
      <w:marRight w:val="0"/>
      <w:marTop w:val="0"/>
      <w:marBottom w:val="0"/>
      <w:divBdr>
        <w:top w:val="none" w:sz="0" w:space="0" w:color="auto"/>
        <w:left w:val="none" w:sz="0" w:space="0" w:color="auto"/>
        <w:bottom w:val="none" w:sz="0" w:space="0" w:color="auto"/>
        <w:right w:val="none" w:sz="0" w:space="0" w:color="auto"/>
      </w:divBdr>
    </w:div>
    <w:div w:id="1250970255">
      <w:bodyDiv w:val="1"/>
      <w:marLeft w:val="0"/>
      <w:marRight w:val="0"/>
      <w:marTop w:val="0"/>
      <w:marBottom w:val="0"/>
      <w:divBdr>
        <w:top w:val="none" w:sz="0" w:space="0" w:color="auto"/>
        <w:left w:val="none" w:sz="0" w:space="0" w:color="auto"/>
        <w:bottom w:val="none" w:sz="0" w:space="0" w:color="auto"/>
        <w:right w:val="none" w:sz="0" w:space="0" w:color="auto"/>
      </w:divBdr>
    </w:div>
    <w:div w:id="1361515260">
      <w:bodyDiv w:val="1"/>
      <w:marLeft w:val="0"/>
      <w:marRight w:val="0"/>
      <w:marTop w:val="0"/>
      <w:marBottom w:val="0"/>
      <w:divBdr>
        <w:top w:val="none" w:sz="0" w:space="0" w:color="auto"/>
        <w:left w:val="none" w:sz="0" w:space="0" w:color="auto"/>
        <w:bottom w:val="none" w:sz="0" w:space="0" w:color="auto"/>
        <w:right w:val="none" w:sz="0" w:space="0" w:color="auto"/>
      </w:divBdr>
    </w:div>
    <w:div w:id="1434742233">
      <w:bodyDiv w:val="1"/>
      <w:marLeft w:val="0"/>
      <w:marRight w:val="0"/>
      <w:marTop w:val="0"/>
      <w:marBottom w:val="0"/>
      <w:divBdr>
        <w:top w:val="none" w:sz="0" w:space="0" w:color="auto"/>
        <w:left w:val="none" w:sz="0" w:space="0" w:color="auto"/>
        <w:bottom w:val="none" w:sz="0" w:space="0" w:color="auto"/>
        <w:right w:val="none" w:sz="0" w:space="0" w:color="auto"/>
      </w:divBdr>
    </w:div>
    <w:div w:id="1439989075">
      <w:bodyDiv w:val="1"/>
      <w:marLeft w:val="0"/>
      <w:marRight w:val="0"/>
      <w:marTop w:val="0"/>
      <w:marBottom w:val="0"/>
      <w:divBdr>
        <w:top w:val="none" w:sz="0" w:space="0" w:color="auto"/>
        <w:left w:val="none" w:sz="0" w:space="0" w:color="auto"/>
        <w:bottom w:val="none" w:sz="0" w:space="0" w:color="auto"/>
        <w:right w:val="none" w:sz="0" w:space="0" w:color="auto"/>
      </w:divBdr>
    </w:div>
    <w:div w:id="1507936348">
      <w:bodyDiv w:val="1"/>
      <w:marLeft w:val="0"/>
      <w:marRight w:val="0"/>
      <w:marTop w:val="0"/>
      <w:marBottom w:val="0"/>
      <w:divBdr>
        <w:top w:val="none" w:sz="0" w:space="0" w:color="auto"/>
        <w:left w:val="none" w:sz="0" w:space="0" w:color="auto"/>
        <w:bottom w:val="none" w:sz="0" w:space="0" w:color="auto"/>
        <w:right w:val="none" w:sz="0" w:space="0" w:color="auto"/>
      </w:divBdr>
    </w:div>
    <w:div w:id="1578855531">
      <w:bodyDiv w:val="1"/>
      <w:marLeft w:val="0"/>
      <w:marRight w:val="0"/>
      <w:marTop w:val="0"/>
      <w:marBottom w:val="0"/>
      <w:divBdr>
        <w:top w:val="none" w:sz="0" w:space="0" w:color="auto"/>
        <w:left w:val="none" w:sz="0" w:space="0" w:color="auto"/>
        <w:bottom w:val="none" w:sz="0" w:space="0" w:color="auto"/>
        <w:right w:val="none" w:sz="0" w:space="0" w:color="auto"/>
      </w:divBdr>
    </w:div>
    <w:div w:id="1664702921">
      <w:bodyDiv w:val="1"/>
      <w:marLeft w:val="0"/>
      <w:marRight w:val="0"/>
      <w:marTop w:val="0"/>
      <w:marBottom w:val="0"/>
      <w:divBdr>
        <w:top w:val="none" w:sz="0" w:space="0" w:color="auto"/>
        <w:left w:val="none" w:sz="0" w:space="0" w:color="auto"/>
        <w:bottom w:val="none" w:sz="0" w:space="0" w:color="auto"/>
        <w:right w:val="none" w:sz="0" w:space="0" w:color="auto"/>
      </w:divBdr>
    </w:div>
    <w:div w:id="1671299414">
      <w:bodyDiv w:val="1"/>
      <w:marLeft w:val="0"/>
      <w:marRight w:val="0"/>
      <w:marTop w:val="0"/>
      <w:marBottom w:val="0"/>
      <w:divBdr>
        <w:top w:val="none" w:sz="0" w:space="0" w:color="auto"/>
        <w:left w:val="none" w:sz="0" w:space="0" w:color="auto"/>
        <w:bottom w:val="none" w:sz="0" w:space="0" w:color="auto"/>
        <w:right w:val="none" w:sz="0" w:space="0" w:color="auto"/>
      </w:divBdr>
    </w:div>
    <w:div w:id="1673071608">
      <w:bodyDiv w:val="1"/>
      <w:marLeft w:val="0"/>
      <w:marRight w:val="0"/>
      <w:marTop w:val="0"/>
      <w:marBottom w:val="0"/>
      <w:divBdr>
        <w:top w:val="none" w:sz="0" w:space="0" w:color="auto"/>
        <w:left w:val="none" w:sz="0" w:space="0" w:color="auto"/>
        <w:bottom w:val="none" w:sz="0" w:space="0" w:color="auto"/>
        <w:right w:val="none" w:sz="0" w:space="0" w:color="auto"/>
      </w:divBdr>
    </w:div>
    <w:div w:id="1770395969">
      <w:bodyDiv w:val="1"/>
      <w:marLeft w:val="0"/>
      <w:marRight w:val="0"/>
      <w:marTop w:val="0"/>
      <w:marBottom w:val="0"/>
      <w:divBdr>
        <w:top w:val="none" w:sz="0" w:space="0" w:color="auto"/>
        <w:left w:val="none" w:sz="0" w:space="0" w:color="auto"/>
        <w:bottom w:val="none" w:sz="0" w:space="0" w:color="auto"/>
        <w:right w:val="none" w:sz="0" w:space="0" w:color="auto"/>
      </w:divBdr>
    </w:div>
    <w:div w:id="1961064718">
      <w:bodyDiv w:val="1"/>
      <w:marLeft w:val="0"/>
      <w:marRight w:val="0"/>
      <w:marTop w:val="0"/>
      <w:marBottom w:val="0"/>
      <w:divBdr>
        <w:top w:val="none" w:sz="0" w:space="0" w:color="auto"/>
        <w:left w:val="none" w:sz="0" w:space="0" w:color="auto"/>
        <w:bottom w:val="none" w:sz="0" w:space="0" w:color="auto"/>
        <w:right w:val="none" w:sz="0" w:space="0" w:color="auto"/>
      </w:divBdr>
    </w:div>
    <w:div w:id="20809079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1638-1886-4682-9173-E96A88C3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5917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5-Year Review Summary FTVE</dc:title>
  <dc:subject/>
  <dc:creator>Krystinne Mica</dc:creator>
  <cp:keywords/>
  <dc:description/>
  <cp:lastModifiedBy>Katie Nash</cp:lastModifiedBy>
  <cp:revision>6</cp:revision>
  <dcterms:created xsi:type="dcterms:W3CDTF">2025-04-03T22:09:00Z</dcterms:created>
  <dcterms:modified xsi:type="dcterms:W3CDTF">2025-04-09T20:56:00Z</dcterms:modified>
  <cp:category/>
</cp:coreProperties>
</file>