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6236" w:rsidRPr="003D6236" w:rsidRDefault="003D6236" w:rsidP="003D6236">
      <w:pPr>
        <w:pStyle w:val="Heading1"/>
      </w:pPr>
      <w:r w:rsidRPr="003D6236">
        <w:drawing>
          <wp:anchor distT="0" distB="0" distL="114300" distR="114300" simplePos="0" relativeHeight="251659264" behindDoc="1" locked="0" layoutInCell="1" allowOverlap="1" wp14:anchorId="3E670F8D" wp14:editId="12CC5C3B">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3D6236">
        <w:t>Transfer Model Curriculum 5-Year Review Summary - Philosophy</w:t>
      </w:r>
    </w:p>
    <w:p w:rsidR="000406E8" w:rsidRPr="001D4C91" w:rsidRDefault="00E53C7C" w:rsidP="003D6236">
      <w:pPr>
        <w:spacing w:after="500"/>
        <w:jc w:val="center"/>
      </w:pPr>
      <w:r>
        <w:rPr>
          <w:b/>
        </w:rPr>
        <w:t>October 24, 2016</w:t>
      </w:r>
    </w:p>
    <w:p w:rsidR="000406E8" w:rsidRPr="003D6236" w:rsidRDefault="000406E8" w:rsidP="003D6236">
      <w:pPr>
        <w:pStyle w:val="Numberlist-level1"/>
      </w:pPr>
      <w:r w:rsidRPr="003D6236">
        <w:t>Provide a breakdown of the respondents to the survey:</w:t>
      </w:r>
    </w:p>
    <w:p w:rsidR="000406E8" w:rsidRPr="001D4C91" w:rsidRDefault="000406E8" w:rsidP="003D6236">
      <w:pPr>
        <w:pStyle w:val="ListParagraph"/>
        <w:numPr>
          <w:ilvl w:val="0"/>
          <w:numId w:val="7"/>
        </w:numPr>
      </w:pPr>
      <w:r w:rsidRPr="001D4C91">
        <w:t># of CCC respondents:</w:t>
      </w:r>
      <w:r>
        <w:t xml:space="preserve"> 23</w:t>
      </w:r>
    </w:p>
    <w:p w:rsidR="000406E8" w:rsidRPr="001D4C91" w:rsidRDefault="000406E8" w:rsidP="003D6236">
      <w:pPr>
        <w:pStyle w:val="ListParagraph"/>
        <w:numPr>
          <w:ilvl w:val="0"/>
          <w:numId w:val="7"/>
        </w:numPr>
      </w:pPr>
      <w:r w:rsidRPr="001D4C91">
        <w:t># of CSU respondents:</w:t>
      </w:r>
      <w:r>
        <w:t xml:space="preserve"> 6</w:t>
      </w:r>
    </w:p>
    <w:p w:rsidR="000406E8" w:rsidRPr="001D4C91" w:rsidRDefault="000406E8" w:rsidP="003D6236">
      <w:pPr>
        <w:pStyle w:val="ListParagraph"/>
        <w:numPr>
          <w:ilvl w:val="0"/>
          <w:numId w:val="7"/>
        </w:numPr>
      </w:pPr>
      <w:r w:rsidRPr="001D4C91">
        <w:t># of UC respondents:</w:t>
      </w:r>
      <w:r>
        <w:t xml:space="preserve"> 1</w:t>
      </w:r>
    </w:p>
    <w:p w:rsidR="000406E8" w:rsidRPr="001D4C91" w:rsidRDefault="000406E8" w:rsidP="003D6236">
      <w:pPr>
        <w:pStyle w:val="ListParagraph"/>
        <w:numPr>
          <w:ilvl w:val="0"/>
          <w:numId w:val="7"/>
        </w:numPr>
      </w:pPr>
      <w:r w:rsidRPr="001D4C91">
        <w:t xml:space="preserve">Total responses: </w:t>
      </w:r>
      <w:r>
        <w:t>30</w:t>
      </w:r>
    </w:p>
    <w:p w:rsidR="000406E8" w:rsidRPr="003D6236" w:rsidRDefault="000406E8" w:rsidP="003D6236">
      <w:pPr>
        <w:rPr>
          <w:b/>
        </w:rPr>
      </w:pPr>
      <w:r w:rsidRPr="001D4C91">
        <w:rPr>
          <w:b/>
        </w:rPr>
        <w:t xml:space="preserve">Provide a written summary of the feedback from the survey to the question below: </w:t>
      </w:r>
    </w:p>
    <w:p w:rsidR="000406E8" w:rsidRDefault="000406E8" w:rsidP="000406E8">
      <w:pPr>
        <w:pStyle w:val="Numberlist-level1"/>
      </w:pPr>
      <w:r w:rsidRPr="001D4C91">
        <w:t>Were there any changes suggested to the CORE of the TMC?</w:t>
      </w:r>
    </w:p>
    <w:p w:rsidR="000406E8" w:rsidRPr="00FC539F" w:rsidRDefault="000406E8" w:rsidP="003D6236">
      <w:r w:rsidRPr="00FC539F">
        <w:t>There were only 7 respondents who suggested possible changes to the Core. 75% stated that no changes were needed. (“No, the CORE section is appropriate the way it is.”)</w:t>
      </w:r>
    </w:p>
    <w:p w:rsidR="000406E8" w:rsidRDefault="000406E8" w:rsidP="003D6236">
      <w:pPr>
        <w:pStyle w:val="ListParagraph"/>
        <w:numPr>
          <w:ilvl w:val="0"/>
          <w:numId w:val="8"/>
        </w:numPr>
      </w:pPr>
      <w:r w:rsidRPr="00FC539F">
        <w:t>Re. suggestion that “Intro to Critical Thinking be included;” We rejected this because CT is already a gen. ed. requirement under IGETC.</w:t>
      </w:r>
    </w:p>
    <w:p w:rsidR="000406E8" w:rsidRPr="001D4C91" w:rsidRDefault="000406E8" w:rsidP="003D6236">
      <w:pPr>
        <w:pStyle w:val="ListParagraph"/>
        <w:numPr>
          <w:ilvl w:val="0"/>
          <w:numId w:val="8"/>
        </w:numPr>
      </w:pPr>
      <w:r w:rsidRPr="00FC539F">
        <w:t xml:space="preserve">Re. suggestion that “More courses or other courses should be required;” Our response is that in general the TMC is a template allowing the Community Colleges to design an </w:t>
      </w:r>
      <w:proofErr w:type="gramStart"/>
      <w:r w:rsidRPr="00FC539F">
        <w:t>18 unit</w:t>
      </w:r>
      <w:proofErr w:type="gramEnd"/>
      <w:r w:rsidRPr="00FC539F">
        <w:t xml:space="preserve"> major in Philosophy using the courses their college can provide. For instance, one suggestion was that both Ethics and Introduction to Philosophy should be required in the Core as well as either Symbolic Logic or Intro to Logic. But requiring both courses in the college’s AA-T degree is easily done since List A allows the selection of any course not selected from the Core list and also allows “Any courses that are articulated as lower division major preparation for the Philosophy major at a CSU, UC, or other accredited university.” It is also worth remembering that individual colleges can require more courses in their individual AA-T degrees than the TMC calls for, they simply cannot require fewer courses than the TMC calls for.</w:t>
      </w:r>
    </w:p>
    <w:p w:rsidR="000406E8" w:rsidRPr="001D4C91" w:rsidRDefault="000406E8" w:rsidP="003D6236">
      <w:pPr>
        <w:pStyle w:val="Numberlist-level1"/>
      </w:pPr>
      <w:r w:rsidRPr="001D4C91">
        <w:t>Were there any changes suggested to the List A section of the TMC?</w:t>
      </w:r>
    </w:p>
    <w:p w:rsidR="000406E8" w:rsidRPr="001D4C91" w:rsidRDefault="000406E8" w:rsidP="003D6236">
      <w:r w:rsidRPr="00FC539F">
        <w:t xml:space="preserve">There </w:t>
      </w:r>
      <w:r w:rsidRPr="003D6236">
        <w:t xml:space="preserve">were only 8 respondents who suggested changes under List A. 74% stated that no changes were needed. Among those who suggested changes, some suggested that both Ancient/Medieval and Modern should be required and one that more courses be required in History of Philosophy. Another stated that their college had no courses in History so they would use other options. In other words, the responses ranged from more courses to no courses at all in History of Philosophy. Once </w:t>
      </w:r>
      <w:proofErr w:type="gramStart"/>
      <w:r w:rsidRPr="003D6236">
        <w:t>again</w:t>
      </w:r>
      <w:proofErr w:type="gramEnd"/>
      <w:r w:rsidRPr="003D6236">
        <w:t xml:space="preserve"> the obvious response regarding List A is that the TMC is already flexible enough to accommodate an individual college’s design around the courses they can offer as long as their courses are appropriately articulated</w:t>
      </w:r>
      <w:r w:rsidRPr="00FC539F">
        <w:t>.</w:t>
      </w:r>
    </w:p>
    <w:p w:rsidR="000406E8" w:rsidRPr="003D6236" w:rsidRDefault="000406E8" w:rsidP="003D6236">
      <w:pPr>
        <w:pStyle w:val="Numberlist-level1"/>
      </w:pPr>
      <w:r w:rsidRPr="003D6236">
        <w:t xml:space="preserve">If appropriate, were there any changes suggested to the List B section of the TMC? </w:t>
      </w:r>
    </w:p>
    <w:p w:rsidR="000406E8" w:rsidRPr="001D4C91" w:rsidRDefault="000406E8" w:rsidP="003D6236">
      <w:r w:rsidRPr="00FC539F">
        <w:t xml:space="preserve">There were </w:t>
      </w:r>
      <w:r w:rsidRPr="003D6236">
        <w:t xml:space="preserve">only 8 respondents who suggested making changes under List B. 74% stated that no changes were needed. Some wanted an explicit listing of non-western courses: Eastern, Asian, African, and Native American. Other suggestions included </w:t>
      </w:r>
      <w:r w:rsidRPr="003D6236">
        <w:lastRenderedPageBreak/>
        <w:t>adding: Environmental Ethics, Feminist Philosophy, Contemporary Problems in Bio-Ethics, Philosophy of Science, Religion and Existentialism. There are two things we are concerned to point out here. The first is that some of these suggested courses are upper-division in some of the CSUs and could not be taken for credit in the major in those universities even if they could be articulated because a few other universities offered them as lower division. The second answer is that if these courses have been so articulated then of course they</w:t>
      </w:r>
      <w:r w:rsidRPr="00FC539F">
        <w:t xml:space="preserve"> are subsumed under the List B’s codicil “</w:t>
      </w:r>
      <w:r w:rsidRPr="00FC539F">
        <w:rPr>
          <w:b/>
        </w:rPr>
        <w:t>OR</w:t>
      </w:r>
      <w:r w:rsidRPr="00FC539F">
        <w:t xml:space="preserve"> Any courses that are articulated as lower division major preparation for the Philosophy major at a CSU.” </w:t>
      </w:r>
      <w:proofErr w:type="gramStart"/>
      <w:r w:rsidRPr="00FC539F">
        <w:t>So</w:t>
      </w:r>
      <w:proofErr w:type="gramEnd"/>
      <w:r w:rsidRPr="00FC539F">
        <w:t xml:space="preserve"> such courses might be part of a college’s AA-T (as they might be used to fulfill List C) although they are not explicitly listed in the TMC.</w:t>
      </w:r>
    </w:p>
    <w:p w:rsidR="000406E8" w:rsidRDefault="000406E8" w:rsidP="003D6236">
      <w:pPr>
        <w:pStyle w:val="Numberlist-level1"/>
      </w:pPr>
      <w:r w:rsidRPr="001D4C91">
        <w:t xml:space="preserve">If appropriate, were there any changes suggested to the List C section of the TMC? </w:t>
      </w:r>
    </w:p>
    <w:p w:rsidR="000406E8" w:rsidRDefault="000406E8" w:rsidP="003D6236">
      <w:r w:rsidRPr="00FC539F">
        <w:t>There were only 2 respondents who commented regarding List C. One asked us to eliminate the 3</w:t>
      </w:r>
      <w:r w:rsidRPr="00FC539F">
        <w:rPr>
          <w:vertAlign w:val="superscript"/>
        </w:rPr>
        <w:t>rd</w:t>
      </w:r>
      <w:r w:rsidRPr="00FC539F">
        <w:t xml:space="preserve"> option, namely "Any CSU transferable course that has been articulated to fulfill Area C2".  The other thanked us for including it and for making the list so flexible. “Thanks for keeping the TMC general so any interested student can qualify. I just had a science major switch to philosophy since he was behind on the math requirements and ultimately wanted to be an attorney (with an environmental emphasis.)”</w:t>
      </w:r>
    </w:p>
    <w:p w:rsidR="000406E8" w:rsidRPr="001D4C91" w:rsidRDefault="000406E8" w:rsidP="003D6236">
      <w:pPr>
        <w:pStyle w:val="Numberlist-level1"/>
      </w:pPr>
      <w:r>
        <w:t xml:space="preserve">Please provide any general recommendations from the feedback received from the vetting. </w:t>
      </w:r>
    </w:p>
    <w:p w:rsidR="000406E8" w:rsidRPr="003D6236" w:rsidRDefault="000406E8" w:rsidP="000406E8">
      <w:pPr>
        <w:pStyle w:val="ColorfulList-Accent11"/>
        <w:ind w:left="0"/>
        <w:rPr>
          <w:b/>
        </w:rPr>
      </w:pPr>
      <w:r w:rsidRPr="001D4C91">
        <w:rPr>
          <w:b/>
        </w:rPr>
        <w:t xml:space="preserve">Provide a written summary of the FDRG’s recommendations and attach a copy of the revised TMC, including the date of completion of the 5-year review. </w:t>
      </w:r>
      <w:r>
        <w:br w:type="page"/>
      </w:r>
    </w:p>
    <w:p w:rsidR="000406E8" w:rsidRPr="003D6236" w:rsidRDefault="000406E8" w:rsidP="003D6236">
      <w:pPr>
        <w:pStyle w:val="Heading2"/>
      </w:pPr>
      <w:r w:rsidRPr="00F76A7B">
        <w:lastRenderedPageBreak/>
        <w:t>Descriptor 5-Year Review Summary</w:t>
      </w:r>
    </w:p>
    <w:p w:rsidR="000406E8" w:rsidRPr="003D6236" w:rsidRDefault="000406E8" w:rsidP="003D6236">
      <w:pPr>
        <w:spacing w:after="240"/>
        <w:rPr>
          <w:i/>
        </w:rPr>
      </w:pPr>
      <w:r w:rsidRPr="00107C9C">
        <w:rPr>
          <w:i/>
        </w:rPr>
        <w:t xml:space="preserve">Please provide a written summary of the FDRG’s recommendations for each of the </w:t>
      </w:r>
      <w:r w:rsidRPr="003D6236">
        <w:t>descriptors in the table below.  If there are no changes to the descriptors, you can note this by stating “After a complete review of the descriptor, the FDRG does not propose any changes to the descriptor</w:t>
      </w:r>
      <w:r w:rsidRPr="00107C9C">
        <w:rPr>
          <w:i/>
        </w:rPr>
        <w:t xml:space="preserve"> at this time.”</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0406E8" w:rsidRPr="00E1335E" w:rsidTr="003D6236">
        <w:trPr>
          <w:tblHeader/>
        </w:trPr>
        <w:tc>
          <w:tcPr>
            <w:tcW w:w="2520" w:type="dxa"/>
            <w:shd w:val="clear" w:color="auto" w:fill="D9D9D9" w:themeFill="background1" w:themeFillShade="D9"/>
          </w:tcPr>
          <w:p w:rsidR="000406E8" w:rsidRPr="00E1335E" w:rsidRDefault="000406E8" w:rsidP="000406E8">
            <w:r w:rsidRPr="00E1335E">
              <w:t xml:space="preserve">C-ID Descriptor and Name </w:t>
            </w:r>
          </w:p>
        </w:tc>
        <w:tc>
          <w:tcPr>
            <w:tcW w:w="7380" w:type="dxa"/>
            <w:shd w:val="clear" w:color="auto" w:fill="D9D9D9" w:themeFill="background1" w:themeFillShade="D9"/>
          </w:tcPr>
          <w:p w:rsidR="000406E8" w:rsidRPr="00E1335E" w:rsidRDefault="000406E8" w:rsidP="000406E8">
            <w:r w:rsidRPr="00E1335E">
              <w:t>Summary of the FDRG 5-Year Review</w:t>
            </w:r>
          </w:p>
        </w:tc>
      </w:tr>
      <w:tr w:rsidR="000406E8" w:rsidRPr="00E1335E">
        <w:tc>
          <w:tcPr>
            <w:tcW w:w="2520" w:type="dxa"/>
          </w:tcPr>
          <w:p w:rsidR="000406E8" w:rsidRPr="00E1335E" w:rsidRDefault="000406E8" w:rsidP="000406E8">
            <w:pPr>
              <w:pStyle w:val="ColorfulList-Accent11"/>
              <w:ind w:left="0"/>
              <w:rPr>
                <w:b/>
                <w:i/>
              </w:rPr>
            </w:pPr>
            <w:r w:rsidRPr="00E1335E">
              <w:rPr>
                <w:b/>
                <w:i/>
              </w:rPr>
              <w:t>Example</w:t>
            </w:r>
          </w:p>
          <w:p w:rsidR="000406E8" w:rsidRPr="00E1335E" w:rsidRDefault="000406E8" w:rsidP="000406E8">
            <w:pPr>
              <w:pStyle w:val="ColorfulList-Accent11"/>
              <w:ind w:left="0"/>
              <w:rPr>
                <w:b/>
              </w:rPr>
            </w:pPr>
            <w:r w:rsidRPr="00E1335E">
              <w:rPr>
                <w:b/>
              </w:rPr>
              <w:t xml:space="preserve">COMM 140 </w:t>
            </w:r>
          </w:p>
          <w:p w:rsidR="000406E8" w:rsidRPr="00E1335E" w:rsidRDefault="000406E8" w:rsidP="000406E8">
            <w:pPr>
              <w:pStyle w:val="ColorfulList-Accent11"/>
              <w:ind w:left="0"/>
              <w:rPr>
                <w:b/>
              </w:rPr>
            </w:pPr>
            <w:r w:rsidRPr="00E1335E">
              <w:rPr>
                <w:b/>
              </w:rPr>
              <w:t>*Small Group Communication</w:t>
            </w:r>
          </w:p>
          <w:p w:rsidR="000406E8" w:rsidRPr="00E1335E" w:rsidRDefault="000406E8" w:rsidP="000406E8"/>
        </w:tc>
        <w:tc>
          <w:tcPr>
            <w:tcW w:w="7380" w:type="dxa"/>
          </w:tcPr>
          <w:p w:rsidR="000406E8" w:rsidRPr="00E1335E" w:rsidRDefault="000406E8" w:rsidP="000406E8">
            <w:pPr>
              <w:pStyle w:val="ColorfulList-Accent11"/>
              <w:ind w:left="0"/>
              <w:rPr>
                <w:i/>
              </w:rPr>
            </w:pPr>
            <w:r w:rsidRPr="00E1335E">
              <w:rPr>
                <w:i/>
              </w:rPr>
              <w:t xml:space="preserve">Example Response </w:t>
            </w:r>
          </w:p>
          <w:p w:rsidR="000406E8" w:rsidRPr="00E1335E" w:rsidRDefault="000406E8" w:rsidP="003D6236">
            <w:r w:rsidRPr="00E1335E">
              <w:t>88.5% of respondents agreed proposed changes were appropriate.</w:t>
            </w:r>
          </w:p>
          <w:p w:rsidR="000406E8" w:rsidRPr="00E1335E" w:rsidRDefault="000406E8" w:rsidP="003D6236">
            <w:r w:rsidRPr="00E1335E">
              <w:t xml:space="preserve">Several comments were about issues not being reviewed at this point (see general comment #4 above). One comment said that oral presentations should not be required in a small group class but it was noted in the FDRG discussion that oral presentations are necessary for articulation in the “Oral Communication” area. </w:t>
            </w:r>
          </w:p>
          <w:p w:rsidR="000406E8" w:rsidRPr="00E1335E" w:rsidRDefault="000406E8" w:rsidP="000406E8">
            <w:r w:rsidRPr="00E1335E">
              <w:t xml:space="preserve">Recommendation: Implement proposed changes. </w:t>
            </w:r>
          </w:p>
        </w:tc>
      </w:tr>
      <w:tr w:rsidR="000406E8" w:rsidRPr="00E1335E">
        <w:tc>
          <w:tcPr>
            <w:tcW w:w="2520" w:type="dxa"/>
          </w:tcPr>
          <w:p w:rsidR="000406E8" w:rsidRDefault="000406E8" w:rsidP="000406E8">
            <w:pPr>
              <w:pStyle w:val="ColorfulList-Accent11"/>
              <w:ind w:left="0"/>
              <w:rPr>
                <w:b/>
              </w:rPr>
            </w:pPr>
            <w:r>
              <w:rPr>
                <w:b/>
              </w:rPr>
              <w:t>PHIL 100</w:t>
            </w:r>
          </w:p>
          <w:p w:rsidR="000406E8" w:rsidRPr="00E1335E" w:rsidRDefault="000406E8" w:rsidP="000406E8">
            <w:pPr>
              <w:pStyle w:val="ColorfulList-Accent11"/>
              <w:ind w:left="0"/>
              <w:rPr>
                <w:b/>
              </w:rPr>
            </w:pPr>
            <w:r>
              <w:rPr>
                <w:b/>
              </w:rPr>
              <w:t>Introduction to Philosophy</w:t>
            </w:r>
          </w:p>
        </w:tc>
        <w:tc>
          <w:tcPr>
            <w:tcW w:w="7380" w:type="dxa"/>
          </w:tcPr>
          <w:p w:rsidR="000406E8" w:rsidRPr="00E1335E" w:rsidRDefault="000406E8" w:rsidP="000406E8">
            <w:pPr>
              <w:pStyle w:val="ColorfulList-Accent11"/>
              <w:ind w:left="0"/>
            </w:pPr>
            <w:r>
              <w:t xml:space="preserve">87.5% of </w:t>
            </w:r>
            <w:r w:rsidRPr="003D6236">
              <w:t>respondents indicated the descriptor is appropriate the way it is written.</w:t>
            </w:r>
            <w:r w:rsidR="003D6236" w:rsidRPr="003D6236">
              <w:t xml:space="preserve"> </w:t>
            </w:r>
            <w:r w:rsidRPr="003D6236">
              <w:t>The FDRG is proposing a change to the textbook list, however no additional changes will be</w:t>
            </w:r>
            <w:r>
              <w:t xml:space="preserve"> made at this time. </w:t>
            </w:r>
          </w:p>
        </w:tc>
      </w:tr>
      <w:tr w:rsidR="000406E8" w:rsidRPr="00E1335E">
        <w:tc>
          <w:tcPr>
            <w:tcW w:w="2520" w:type="dxa"/>
          </w:tcPr>
          <w:p w:rsidR="000406E8" w:rsidRDefault="000406E8" w:rsidP="000406E8">
            <w:pPr>
              <w:pStyle w:val="ColorfulList-Accent11"/>
              <w:ind w:left="0"/>
              <w:rPr>
                <w:b/>
              </w:rPr>
            </w:pPr>
            <w:r>
              <w:rPr>
                <w:b/>
              </w:rPr>
              <w:t>PHIL 110</w:t>
            </w:r>
          </w:p>
          <w:p w:rsidR="000406E8" w:rsidRPr="00E1335E" w:rsidRDefault="000406E8" w:rsidP="000406E8">
            <w:pPr>
              <w:pStyle w:val="ColorfulList-Accent11"/>
              <w:ind w:left="0"/>
              <w:rPr>
                <w:b/>
              </w:rPr>
            </w:pPr>
            <w:r>
              <w:rPr>
                <w:b/>
              </w:rPr>
              <w:t>Introduction to Logic</w:t>
            </w:r>
          </w:p>
        </w:tc>
        <w:tc>
          <w:tcPr>
            <w:tcW w:w="7380" w:type="dxa"/>
          </w:tcPr>
          <w:p w:rsidR="000406E8" w:rsidRDefault="000406E8" w:rsidP="000406E8">
            <w:pPr>
              <w:pStyle w:val="ColorfulList-Accent11"/>
              <w:ind w:left="0"/>
            </w:pPr>
            <w:r>
              <w:t xml:space="preserve">75% </w:t>
            </w:r>
            <w:r w:rsidRPr="003D6236">
              <w:t>of respondents indicated that descriptor is appropriate the way it is written.  Upon further review, the FDRG determined that changes will be made to the descriptor</w:t>
            </w:r>
            <w:r>
              <w:t xml:space="preserve"> as follows:</w:t>
            </w:r>
          </w:p>
          <w:p w:rsidR="000406E8" w:rsidRPr="00996BAC" w:rsidRDefault="000406E8" w:rsidP="003D6236">
            <w:pPr>
              <w:spacing w:after="0"/>
              <w:ind w:left="319"/>
            </w:pPr>
            <w:r w:rsidRPr="00996BAC">
              <w:t xml:space="preserve">Under Course Content Take out “Required Content” </w:t>
            </w:r>
            <w:r>
              <w:t xml:space="preserve">and replace with: </w:t>
            </w:r>
          </w:p>
          <w:p w:rsidR="000406E8" w:rsidRPr="00996BAC" w:rsidRDefault="000406E8" w:rsidP="003D6236">
            <w:pPr>
              <w:spacing w:after="0"/>
              <w:ind w:left="319"/>
            </w:pPr>
            <w:r w:rsidRPr="00996BAC">
              <w:t>“A substantial portion of the course must address each of the following:</w:t>
            </w:r>
          </w:p>
          <w:p w:rsidR="000406E8" w:rsidRPr="00996BAC" w:rsidRDefault="000406E8" w:rsidP="003D6236">
            <w:pPr>
              <w:spacing w:after="0"/>
              <w:ind w:left="319"/>
            </w:pPr>
            <w:r w:rsidRPr="00996BAC">
              <w:t>Validity</w:t>
            </w:r>
            <w:r>
              <w:t>;</w:t>
            </w:r>
          </w:p>
          <w:p w:rsidR="000406E8" w:rsidRPr="00996BAC" w:rsidRDefault="000406E8" w:rsidP="003D6236">
            <w:pPr>
              <w:spacing w:after="0"/>
              <w:ind w:left="319"/>
            </w:pPr>
            <w:r w:rsidRPr="00996BAC">
              <w:t>Symbolization</w:t>
            </w:r>
            <w:r>
              <w:t>;</w:t>
            </w:r>
          </w:p>
          <w:p w:rsidR="000406E8" w:rsidRPr="00996BAC" w:rsidRDefault="000406E8" w:rsidP="003D6236">
            <w:pPr>
              <w:spacing w:after="0"/>
              <w:ind w:left="319"/>
            </w:pPr>
            <w:r w:rsidRPr="00996BAC">
              <w:t>Syntax</w:t>
            </w:r>
            <w:r>
              <w:t>;</w:t>
            </w:r>
            <w:r w:rsidRPr="00996BAC">
              <w:t xml:space="preserve"> </w:t>
            </w:r>
          </w:p>
          <w:p w:rsidR="000406E8" w:rsidRPr="00996BAC" w:rsidRDefault="000406E8" w:rsidP="003D6236">
            <w:pPr>
              <w:spacing w:after="0"/>
              <w:ind w:left="319"/>
            </w:pPr>
            <w:r w:rsidRPr="00996BAC">
              <w:t>Semantics</w:t>
            </w:r>
            <w:r>
              <w:t>;</w:t>
            </w:r>
            <w:r w:rsidRPr="00996BAC">
              <w:t xml:space="preserve"> </w:t>
            </w:r>
          </w:p>
          <w:p w:rsidR="000406E8" w:rsidRPr="00996BAC" w:rsidRDefault="000406E8" w:rsidP="003D6236">
            <w:pPr>
              <w:spacing w:after="0"/>
              <w:ind w:left="319"/>
            </w:pPr>
            <w:r w:rsidRPr="00996BAC">
              <w:t>Truth tables</w:t>
            </w:r>
            <w:r>
              <w:t>;</w:t>
            </w:r>
          </w:p>
          <w:p w:rsidR="000406E8" w:rsidRDefault="000406E8" w:rsidP="003D6236">
            <w:pPr>
              <w:ind w:left="319"/>
            </w:pPr>
            <w:r w:rsidRPr="00996BAC">
              <w:t>Natural deduction proof method in sentential logic."</w:t>
            </w:r>
          </w:p>
          <w:p w:rsidR="000406E8" w:rsidRPr="00996BAC" w:rsidRDefault="000406E8" w:rsidP="003D6236">
            <w:pPr>
              <w:pStyle w:val="ColorfulList-Accent11"/>
              <w:ind w:left="0"/>
            </w:pPr>
            <w:r w:rsidRPr="003D6236">
              <w:t>The change proposed above was discussed as a way make it clear to faculty and articulation officers that Phil110 is designed as an introduction to symbolic logic, not a critical thinking course. It was included in the Philosophy TMC</w:t>
            </w:r>
            <w:r>
              <w:t xml:space="preserve"> to</w:t>
            </w:r>
            <w:r w:rsidRPr="00996BAC">
              <w:t xml:space="preserve"> accommodate colleges without sufficient teaching staff to offer the conventional undergraduate symbolic logic course.</w:t>
            </w:r>
          </w:p>
        </w:tc>
      </w:tr>
      <w:tr w:rsidR="000406E8" w:rsidRPr="00E1335E">
        <w:tc>
          <w:tcPr>
            <w:tcW w:w="2520" w:type="dxa"/>
          </w:tcPr>
          <w:p w:rsidR="000406E8" w:rsidRDefault="000406E8" w:rsidP="000406E8">
            <w:pPr>
              <w:pStyle w:val="ColorfulList-Accent11"/>
              <w:ind w:left="0"/>
              <w:rPr>
                <w:b/>
              </w:rPr>
            </w:pPr>
            <w:r>
              <w:rPr>
                <w:b/>
              </w:rPr>
              <w:t>PHIL 120</w:t>
            </w:r>
          </w:p>
          <w:p w:rsidR="000406E8" w:rsidRPr="00E1335E" w:rsidRDefault="000406E8" w:rsidP="000406E8">
            <w:pPr>
              <w:pStyle w:val="ColorfulList-Accent11"/>
              <w:ind w:left="0"/>
              <w:rPr>
                <w:b/>
              </w:rPr>
            </w:pPr>
            <w:r>
              <w:rPr>
                <w:b/>
              </w:rPr>
              <w:t>Introduction to Ethics</w:t>
            </w:r>
          </w:p>
        </w:tc>
        <w:tc>
          <w:tcPr>
            <w:tcW w:w="7380" w:type="dxa"/>
          </w:tcPr>
          <w:p w:rsidR="000406E8" w:rsidRPr="00E1335E" w:rsidRDefault="000406E8" w:rsidP="000406E8">
            <w:pPr>
              <w:pStyle w:val="ColorfulList-Accent11"/>
              <w:ind w:left="0"/>
            </w:pPr>
            <w:r>
              <w:t xml:space="preserve">81.3% of respondents indicated that descriptor is appropriate the way it is written. The FDRG is recommending no changes to the descriptor at this time. </w:t>
            </w:r>
          </w:p>
        </w:tc>
      </w:tr>
      <w:tr w:rsidR="000406E8" w:rsidRPr="00E1335E">
        <w:tc>
          <w:tcPr>
            <w:tcW w:w="2520" w:type="dxa"/>
          </w:tcPr>
          <w:p w:rsidR="000406E8" w:rsidRDefault="000406E8" w:rsidP="000406E8">
            <w:pPr>
              <w:pStyle w:val="ColorfulList-Accent11"/>
              <w:ind w:left="0"/>
              <w:rPr>
                <w:b/>
              </w:rPr>
            </w:pPr>
            <w:r>
              <w:rPr>
                <w:b/>
              </w:rPr>
              <w:t xml:space="preserve">PHIL 130 </w:t>
            </w:r>
          </w:p>
          <w:p w:rsidR="000406E8" w:rsidRDefault="000406E8" w:rsidP="000406E8">
            <w:pPr>
              <w:pStyle w:val="ColorfulList-Accent11"/>
              <w:ind w:left="0"/>
              <w:rPr>
                <w:b/>
              </w:rPr>
            </w:pPr>
            <w:r>
              <w:rPr>
                <w:b/>
              </w:rPr>
              <w:t>History of Ancient Philosophy</w:t>
            </w:r>
          </w:p>
        </w:tc>
        <w:tc>
          <w:tcPr>
            <w:tcW w:w="7380" w:type="dxa"/>
          </w:tcPr>
          <w:p w:rsidR="000406E8" w:rsidRPr="00E1335E" w:rsidRDefault="000406E8" w:rsidP="000406E8">
            <w:pPr>
              <w:pStyle w:val="ColorfulList-Accent11"/>
              <w:ind w:left="0"/>
            </w:pPr>
            <w:r>
              <w:t xml:space="preserve">93.3% of respondents indicated that descriptor is appropriate the way it is written. The FDRG is recommending no changes to the descriptor at this time. </w:t>
            </w:r>
          </w:p>
        </w:tc>
      </w:tr>
      <w:tr w:rsidR="000406E8" w:rsidRPr="00E1335E">
        <w:tc>
          <w:tcPr>
            <w:tcW w:w="2520" w:type="dxa"/>
          </w:tcPr>
          <w:p w:rsidR="000406E8" w:rsidRDefault="000406E8" w:rsidP="009C0594">
            <w:pPr>
              <w:pStyle w:val="ColorfulList-Accent11"/>
              <w:keepNext/>
              <w:keepLines/>
              <w:ind w:left="0"/>
              <w:rPr>
                <w:b/>
              </w:rPr>
            </w:pPr>
            <w:r>
              <w:rPr>
                <w:b/>
              </w:rPr>
              <w:lastRenderedPageBreak/>
              <w:t>PHIL 140</w:t>
            </w:r>
          </w:p>
          <w:p w:rsidR="000406E8" w:rsidRDefault="000406E8" w:rsidP="009C0594">
            <w:pPr>
              <w:pStyle w:val="ColorfulList-Accent11"/>
              <w:keepNext/>
              <w:keepLines/>
              <w:ind w:left="0"/>
              <w:rPr>
                <w:b/>
              </w:rPr>
            </w:pPr>
            <w:r>
              <w:rPr>
                <w:b/>
              </w:rPr>
              <w:t>History of Modern Philosophy</w:t>
            </w:r>
          </w:p>
        </w:tc>
        <w:tc>
          <w:tcPr>
            <w:tcW w:w="7380" w:type="dxa"/>
          </w:tcPr>
          <w:p w:rsidR="000406E8" w:rsidRDefault="000406E8" w:rsidP="009C0594">
            <w:pPr>
              <w:pStyle w:val="ColorfulList-Accent11"/>
              <w:keepNext/>
              <w:keepLines/>
              <w:ind w:left="0"/>
            </w:pPr>
            <w:r>
              <w:t xml:space="preserve">93.3% of respondents indicated that descriptor is appropriate the way it is written. The FDRG is recommending no changes to the descriptor at this time. </w:t>
            </w:r>
          </w:p>
          <w:p w:rsidR="000406E8" w:rsidRPr="00E1335E" w:rsidRDefault="000406E8" w:rsidP="009C0594">
            <w:pPr>
              <w:keepNext/>
              <w:keepLines/>
            </w:pPr>
            <w:r>
              <w:t xml:space="preserve">The FDRG </w:t>
            </w:r>
            <w:r w:rsidRPr="00463DC9">
              <w:t xml:space="preserve">discussed whether Kant’s Groundwork for the Metaphysics of Morals should be included but while Metaphysics and Epistemology are to emphasized there is no requirement to entirely eliminate Ethics. </w:t>
            </w:r>
            <w:r>
              <w:t>The FDRG</w:t>
            </w:r>
            <w:r w:rsidRPr="00463DC9">
              <w:t xml:space="preserve"> also decided against specifically added provisions about feminist philosophy and non-western philosophy.</w:t>
            </w:r>
          </w:p>
        </w:tc>
      </w:tr>
      <w:tr w:rsidR="000406E8" w:rsidRPr="00E1335E">
        <w:tc>
          <w:tcPr>
            <w:tcW w:w="2520" w:type="dxa"/>
          </w:tcPr>
          <w:p w:rsidR="000406E8" w:rsidRDefault="000406E8" w:rsidP="000406E8">
            <w:pPr>
              <w:pStyle w:val="ColorfulList-Accent11"/>
              <w:ind w:left="0"/>
              <w:rPr>
                <w:b/>
              </w:rPr>
            </w:pPr>
            <w:r>
              <w:rPr>
                <w:b/>
              </w:rPr>
              <w:t>PHIL 210</w:t>
            </w:r>
          </w:p>
          <w:p w:rsidR="000406E8" w:rsidRDefault="000406E8" w:rsidP="000406E8">
            <w:pPr>
              <w:pStyle w:val="ColorfulList-Accent11"/>
              <w:ind w:left="0"/>
              <w:rPr>
                <w:b/>
              </w:rPr>
            </w:pPr>
            <w:r>
              <w:rPr>
                <w:b/>
              </w:rPr>
              <w:t xml:space="preserve">Symbolic Logic </w:t>
            </w:r>
          </w:p>
        </w:tc>
        <w:tc>
          <w:tcPr>
            <w:tcW w:w="7380" w:type="dxa"/>
          </w:tcPr>
          <w:p w:rsidR="000406E8" w:rsidRPr="00E1335E" w:rsidRDefault="000406E8" w:rsidP="000406E8">
            <w:pPr>
              <w:pStyle w:val="ColorfulList-Accent11"/>
              <w:ind w:left="0"/>
            </w:pPr>
            <w:r>
              <w:t xml:space="preserve">93.8% of respondents indicated that descriptor is appropriate the way it is </w:t>
            </w:r>
            <w:r w:rsidRPr="003D6236">
              <w:t>written. The FDRG is recommending no changes to the descriptor at this time.</w:t>
            </w:r>
            <w:r>
              <w:t xml:space="preserve"> </w:t>
            </w:r>
          </w:p>
        </w:tc>
      </w:tr>
    </w:tbl>
    <w:p w:rsidR="000406E8" w:rsidRPr="001D4C91" w:rsidRDefault="000406E8" w:rsidP="000406E8"/>
    <w:sectPr w:rsidR="000406E8" w:rsidRPr="001D4C91" w:rsidSect="003D6236">
      <w:footerReference w:type="even" r:id="rId8"/>
      <w:footerReference w:type="default" r:id="rId9"/>
      <w:pgSz w:w="12240" w:h="15840"/>
      <w:pgMar w:top="128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2098" w:rsidRDefault="00312098">
      <w:r>
        <w:separator/>
      </w:r>
    </w:p>
  </w:endnote>
  <w:endnote w:type="continuationSeparator" w:id="0">
    <w:p w:rsidR="00312098" w:rsidRDefault="0031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06E8" w:rsidRDefault="000406E8" w:rsidP="00040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6E8" w:rsidRDefault="000406E8" w:rsidP="00040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06E8" w:rsidRPr="00D90972" w:rsidRDefault="000406E8" w:rsidP="000406E8">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E53C7C">
      <w:rPr>
        <w:rStyle w:val="PageNumber"/>
        <w:noProof/>
      </w:rPr>
      <w:t>4</w:t>
    </w:r>
    <w:r w:rsidRPr="00D90972">
      <w:rPr>
        <w:rStyle w:val="PageNumber"/>
      </w:rPr>
      <w:fldChar w:fldCharType="end"/>
    </w:r>
  </w:p>
  <w:p w:rsidR="000406E8" w:rsidRDefault="000406E8" w:rsidP="00040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2098" w:rsidRDefault="00312098">
      <w:r>
        <w:separator/>
      </w:r>
    </w:p>
  </w:footnote>
  <w:footnote w:type="continuationSeparator" w:id="0">
    <w:p w:rsidR="00312098" w:rsidRDefault="00312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0BAC"/>
    <w:multiLevelType w:val="hybridMultilevel"/>
    <w:tmpl w:val="06A2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1B65D1E"/>
    <w:multiLevelType w:val="hybridMultilevel"/>
    <w:tmpl w:val="82FCA1FE"/>
    <w:lvl w:ilvl="0" w:tplc="1B640EDC">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B6795"/>
    <w:multiLevelType w:val="hybridMultilevel"/>
    <w:tmpl w:val="34B4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14125"/>
    <w:multiLevelType w:val="hybridMultilevel"/>
    <w:tmpl w:val="DDBC1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5415542">
    <w:abstractNumId w:val="0"/>
  </w:num>
  <w:num w:numId="2" w16cid:durableId="1463157804">
    <w:abstractNumId w:val="7"/>
  </w:num>
  <w:num w:numId="3" w16cid:durableId="1209804685">
    <w:abstractNumId w:val="6"/>
  </w:num>
  <w:num w:numId="4" w16cid:durableId="210120877">
    <w:abstractNumId w:val="2"/>
  </w:num>
  <w:num w:numId="5" w16cid:durableId="658383996">
    <w:abstractNumId w:val="5"/>
  </w:num>
  <w:num w:numId="6" w16cid:durableId="873732024">
    <w:abstractNumId w:val="3"/>
  </w:num>
  <w:num w:numId="7" w16cid:durableId="1085342780">
    <w:abstractNumId w:val="1"/>
  </w:num>
  <w:num w:numId="8" w16cid:durableId="40567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406E8"/>
    <w:rsid w:val="000B5B5C"/>
    <w:rsid w:val="001F1B89"/>
    <w:rsid w:val="00312098"/>
    <w:rsid w:val="003D6236"/>
    <w:rsid w:val="003E2C3B"/>
    <w:rsid w:val="00443FB0"/>
    <w:rsid w:val="006778A4"/>
    <w:rsid w:val="009C0594"/>
    <w:rsid w:val="00A41F65"/>
    <w:rsid w:val="00E53C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DCC431C"/>
  <w15:chartTrackingRefBased/>
  <w15:docId w15:val="{F2BE301C-501C-2341-ACE6-A4E74599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236"/>
    <w:pPr>
      <w:spacing w:after="120"/>
    </w:pPr>
    <w:rPr>
      <w:rFonts w:ascii="Arial" w:hAnsi="Arial"/>
      <w:sz w:val="22"/>
      <w:szCs w:val="24"/>
    </w:rPr>
  </w:style>
  <w:style w:type="paragraph" w:styleId="Heading1">
    <w:name w:val="heading 1"/>
    <w:basedOn w:val="Normal"/>
    <w:next w:val="Normal"/>
    <w:link w:val="Heading1Char"/>
    <w:qFormat/>
    <w:rsid w:val="003D6236"/>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3D6236"/>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3D6236"/>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styleId="Hyperlink">
    <w:name w:val="Hyperlink"/>
    <w:rsid w:val="003D6236"/>
    <w:rPr>
      <w:color w:val="4472C4"/>
      <w:u w:val="single"/>
    </w:rPr>
  </w:style>
  <w:style w:type="character" w:customStyle="1" w:styleId="Heading1Char">
    <w:name w:val="Heading 1 Char"/>
    <w:link w:val="Heading1"/>
    <w:rsid w:val="003D6236"/>
    <w:rPr>
      <w:rFonts w:ascii="Arial" w:eastAsia="Times New Roman" w:hAnsi="Arial" w:cs="Arial"/>
      <w:noProof/>
      <w:kern w:val="32"/>
      <w:sz w:val="32"/>
      <w:szCs w:val="32"/>
    </w:rPr>
  </w:style>
  <w:style w:type="character" w:customStyle="1" w:styleId="Heading2Char">
    <w:name w:val="Heading 2 Char"/>
    <w:link w:val="Heading2"/>
    <w:rsid w:val="003D6236"/>
    <w:rPr>
      <w:rFonts w:ascii="Arial" w:eastAsia="Times New Roman" w:hAnsi="Arial"/>
      <w:b/>
      <w:bCs/>
      <w:iCs/>
      <w:sz w:val="26"/>
      <w:szCs w:val="26"/>
    </w:rPr>
  </w:style>
  <w:style w:type="character" w:customStyle="1" w:styleId="Heading3Char">
    <w:name w:val="Heading 3 Char"/>
    <w:basedOn w:val="DefaultParagraphFont"/>
    <w:link w:val="Heading3"/>
    <w:rsid w:val="003D6236"/>
    <w:rPr>
      <w:rFonts w:ascii="Arial" w:eastAsiaTheme="majorEastAsia" w:hAnsi="Arial" w:cs="Arial"/>
      <w:b/>
      <w:bCs/>
      <w:color w:val="000000" w:themeColor="text1"/>
      <w:sz w:val="24"/>
      <w:szCs w:val="24"/>
    </w:rPr>
  </w:style>
  <w:style w:type="paragraph" w:customStyle="1" w:styleId="Numberlist-level1">
    <w:name w:val="Number list - level 1"/>
    <w:basedOn w:val="Normal"/>
    <w:qFormat/>
    <w:rsid w:val="003D6236"/>
    <w:pPr>
      <w:numPr>
        <w:numId w:val="6"/>
      </w:numPr>
      <w:spacing w:before="240"/>
      <w:ind w:left="360"/>
    </w:pPr>
  </w:style>
  <w:style w:type="paragraph" w:styleId="ListParagraph">
    <w:name w:val="List Paragraph"/>
    <w:basedOn w:val="Normal"/>
    <w:qFormat/>
    <w:rsid w:val="003D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1194</Words>
  <Characters>6157</Characters>
  <Application>Microsoft Office Word</Application>
  <DocSecurity>0</DocSecurity>
  <Lines>135</Lines>
  <Paragraphs>59</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7319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Philosophy</dc:title>
  <dc:subject/>
  <dc:creator>Krystinne Mica</dc:creator>
  <cp:keywords/>
  <dc:description/>
  <cp:lastModifiedBy>Katie Nash</cp:lastModifiedBy>
  <cp:revision>4</cp:revision>
  <dcterms:created xsi:type="dcterms:W3CDTF">2025-04-07T22:56:00Z</dcterms:created>
  <dcterms:modified xsi:type="dcterms:W3CDTF">2025-04-07T23:03:00Z</dcterms:modified>
  <cp:category/>
</cp:coreProperties>
</file>