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74C1" w:rsidRPr="000F6077" w:rsidRDefault="0071053F" w:rsidP="0071053F">
      <w:pPr>
        <w:pStyle w:val="Heading1"/>
        <w:spacing w:after="500"/>
      </w:pPr>
      <w:r w:rsidRPr="007414BF">
        <w:rPr>
          <w:noProof/>
        </w:rPr>
        <w:drawing>
          <wp:anchor distT="0" distB="0" distL="114300" distR="114300" simplePos="0" relativeHeight="251659264" behindDoc="1" locked="0" layoutInCell="1" allowOverlap="1" wp14:anchorId="6D5629D6" wp14:editId="1D8FDB99">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47222F">
        <w:t xml:space="preserve">Transfer Model </w:t>
      </w:r>
      <w:r w:rsidRPr="00381A8D">
        <w:t>Curriculum</w:t>
      </w:r>
      <w:r>
        <w:t xml:space="preserve"> </w:t>
      </w:r>
      <w:r w:rsidR="001E74C1" w:rsidRPr="000F6077">
        <w:t>Worksheet</w:t>
      </w:r>
    </w:p>
    <w:p w:rsidR="006464C4" w:rsidRPr="000F6077" w:rsidRDefault="006464C4" w:rsidP="0071053F">
      <w:r w:rsidRPr="0071053F">
        <w:rPr>
          <w:b/>
          <w:bCs/>
        </w:rPr>
        <w:t>CCC Major or Area of Emphasis</w:t>
      </w:r>
      <w:r w:rsidRPr="000F6077">
        <w:t>:</w:t>
      </w:r>
      <w:r w:rsidR="0071053F">
        <w:t xml:space="preserve"> </w:t>
      </w:r>
      <w:r w:rsidR="003D569D" w:rsidRPr="000F6077">
        <w:rPr>
          <w:u w:val="single"/>
        </w:rPr>
        <w:t>Business Administration</w:t>
      </w:r>
    </w:p>
    <w:p w:rsidR="006464C4" w:rsidRPr="000F6077" w:rsidRDefault="006464C4" w:rsidP="0071053F">
      <w:pPr>
        <w:rPr>
          <w:i/>
        </w:rPr>
      </w:pPr>
      <w:r w:rsidRPr="0071053F">
        <w:rPr>
          <w:b/>
          <w:bCs/>
        </w:rPr>
        <w:t>CSU Major or Majors</w:t>
      </w:r>
      <w:r w:rsidRPr="000F6077">
        <w:t xml:space="preserve">: </w:t>
      </w:r>
      <w:r w:rsidR="003D569D" w:rsidRPr="000F6077">
        <w:t>Business Administration</w:t>
      </w:r>
      <w:r w:rsidRPr="000F6077">
        <w:t xml:space="preserve"> </w:t>
      </w:r>
    </w:p>
    <w:p w:rsidR="006464C4" w:rsidRPr="000F6077" w:rsidRDefault="006464C4" w:rsidP="0071053F">
      <w:pPr>
        <w:spacing w:after="240"/>
        <w:rPr>
          <w:rFonts w:cs="Arial"/>
          <w:szCs w:val="22"/>
        </w:rPr>
      </w:pPr>
      <w:r w:rsidRPr="0071053F">
        <w:rPr>
          <w:b/>
          <w:bCs/>
        </w:rPr>
        <w:t>Degree Type</w:t>
      </w:r>
      <w:r w:rsidRPr="000F6077">
        <w:rPr>
          <w:rFonts w:cs="Arial"/>
          <w:szCs w:val="22"/>
        </w:rPr>
        <w:t xml:space="preserve"> (</w:t>
      </w:r>
      <w:r w:rsidRPr="000F6077">
        <w:rPr>
          <w:rFonts w:cs="Arial"/>
          <w:i/>
          <w:szCs w:val="22"/>
        </w:rPr>
        <w:t>indicate one)</w:t>
      </w:r>
      <w:r w:rsidRPr="000F6077">
        <w:rPr>
          <w:rFonts w:cs="Arial"/>
          <w:szCs w:val="22"/>
        </w:rPr>
        <w:t>:</w:t>
      </w:r>
      <w:r w:rsidRPr="000F6077">
        <w:rPr>
          <w:rFonts w:cs="Arial"/>
          <w:szCs w:val="22"/>
        </w:rPr>
        <w:tab/>
        <w:t>AA-T_____</w:t>
      </w:r>
      <w:r w:rsidRPr="000F6077">
        <w:rPr>
          <w:rFonts w:cs="Arial"/>
          <w:szCs w:val="22"/>
        </w:rPr>
        <w:tab/>
        <w:t>OR</w:t>
      </w:r>
      <w:r w:rsidRPr="000F6077">
        <w:rPr>
          <w:rFonts w:cs="Arial"/>
          <w:szCs w:val="22"/>
        </w:rPr>
        <w:tab/>
        <w:t>AS-T__</w:t>
      </w:r>
      <w:r w:rsidR="0086649B" w:rsidRPr="000F6077">
        <w:rPr>
          <w:rFonts w:cs="Arial"/>
          <w:szCs w:val="22"/>
        </w:rPr>
        <w:t>X</w:t>
      </w:r>
      <w:r w:rsidRPr="000F6077">
        <w:rPr>
          <w:rFonts w:cs="Arial"/>
          <w:szCs w:val="22"/>
        </w:rPr>
        <w:t>___</w:t>
      </w:r>
    </w:p>
    <w:p w:rsidR="006464C4" w:rsidRPr="000F6077" w:rsidRDefault="006464C4" w:rsidP="0071053F">
      <w:pPr>
        <w:rPr>
          <w:rFonts w:cs="Arial"/>
          <w:b/>
          <w:color w:val="FF0000"/>
          <w:szCs w:val="22"/>
        </w:rPr>
      </w:pPr>
      <w:r w:rsidRPr="000F6077">
        <w:rPr>
          <w:rFonts w:cs="Arial"/>
          <w:b/>
          <w:szCs w:val="22"/>
        </w:rPr>
        <w:t>Required “Core” Courses:</w:t>
      </w:r>
      <w:r w:rsidRPr="000F6077">
        <w:rPr>
          <w:rFonts w:cs="Arial"/>
          <w:b/>
          <w:szCs w:val="22"/>
        </w:rPr>
        <w:tab/>
      </w:r>
    </w:p>
    <w:tbl>
      <w:tblPr>
        <w:tblW w:w="0" w:type="auto"/>
        <w:tblCellMar>
          <w:top w:w="15" w:type="dxa"/>
          <w:left w:w="15" w:type="dxa"/>
          <w:bottom w:w="15" w:type="dxa"/>
          <w:right w:w="15" w:type="dxa"/>
        </w:tblCellMar>
        <w:tblLook w:val="04A0" w:firstRow="1" w:lastRow="0" w:firstColumn="1" w:lastColumn="0" w:noHBand="0" w:noVBand="1"/>
      </w:tblPr>
      <w:tblGrid>
        <w:gridCol w:w="4336"/>
        <w:gridCol w:w="2674"/>
        <w:gridCol w:w="889"/>
        <w:gridCol w:w="1451"/>
      </w:tblGrid>
      <w:tr w:rsidR="000A374C" w:rsidRPr="000F6077" w:rsidTr="0071053F">
        <w:trPr>
          <w:trHeight w:val="900"/>
          <w:tblHeader/>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0A374C" w:rsidRPr="000F6077" w:rsidRDefault="000A374C" w:rsidP="0071053F">
            <w:pPr>
              <w:jc w:val="center"/>
              <w:rPr>
                <w:rFonts w:eastAsia="Times New Roman" w:cs="Arial"/>
                <w:szCs w:val="22"/>
              </w:rPr>
            </w:pPr>
            <w:r w:rsidRPr="000F6077">
              <w:rPr>
                <w:rFonts w:eastAsia="Times New Roman" w:cs="Arial"/>
                <w:b/>
                <w:bCs/>
                <w:color w:val="000000"/>
                <w:szCs w:val="22"/>
              </w:rPr>
              <w:t>Title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0A374C" w:rsidRPr="000F6077" w:rsidRDefault="000A374C" w:rsidP="0071053F">
            <w:pPr>
              <w:jc w:val="center"/>
              <w:rPr>
                <w:rFonts w:eastAsia="Times New Roman" w:cs="Arial"/>
                <w:szCs w:val="22"/>
              </w:rPr>
            </w:pPr>
            <w:r w:rsidRPr="000F6077">
              <w:rPr>
                <w:rFonts w:eastAsia="Times New Roman" w:cs="Arial"/>
                <w:b/>
                <w:bCs/>
                <w:color w:val="000000"/>
                <w:szCs w:val="22"/>
              </w:rPr>
              <w:t>C-ID Designation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0A374C" w:rsidRPr="000F6077" w:rsidRDefault="000A374C" w:rsidP="0071053F">
            <w:pPr>
              <w:jc w:val="center"/>
              <w:rPr>
                <w:rFonts w:eastAsia="Times New Roman" w:cs="Arial"/>
                <w:szCs w:val="22"/>
              </w:rPr>
            </w:pPr>
            <w:r w:rsidRPr="000F6077">
              <w:rPr>
                <w:rFonts w:eastAsia="Times New Roman" w:cs="Arial"/>
                <w:b/>
                <w:bCs/>
                <w:color w:val="000000"/>
                <w:szCs w:val="22"/>
              </w:rPr>
              <w:t>C-ID Units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0A374C" w:rsidRPr="000F6077" w:rsidRDefault="000A374C" w:rsidP="0071053F">
            <w:pPr>
              <w:jc w:val="center"/>
              <w:rPr>
                <w:rFonts w:eastAsia="Times New Roman" w:cs="Arial"/>
                <w:szCs w:val="22"/>
              </w:rPr>
            </w:pPr>
            <w:r w:rsidRPr="000F6077">
              <w:rPr>
                <w:rFonts w:eastAsia="Times New Roman" w:cs="Arial"/>
                <w:b/>
                <w:bCs/>
                <w:color w:val="000000"/>
                <w:szCs w:val="22"/>
              </w:rPr>
              <w:t>Double Counted for GE</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Financial Accounting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ACCT 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Managerial Accounting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ACCT 120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Business Law OR Legal Environment of Business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BUS 125 OR BUS 120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9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Finite Mathematics OR Business Calculus OR a Math course (excluding Statistics) articulated for the Business major at a CSU campus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MATH 130 OR MATH 140 OR Articulation Agreement by Major (AAM)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Microeconomics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ECON 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Macroeconomics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ECON 202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Statistics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MATH 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374C" w:rsidRPr="000F6077" w:rsidRDefault="00A42ABD" w:rsidP="001E74C1">
            <w:pPr>
              <w:rPr>
                <w:rFonts w:eastAsia="Times New Roman" w:cs="Arial"/>
                <w:szCs w:val="22"/>
              </w:rPr>
            </w:pPr>
            <w:r w:rsidRPr="000F6077">
              <w:rPr>
                <w:rFonts w:eastAsia="Times New Roman" w:cs="Arial"/>
                <w:color w:val="000000"/>
                <w:szCs w:val="22"/>
              </w:rPr>
              <w:t xml:space="preserve">Introduction to Business </w:t>
            </w:r>
            <w:r>
              <w:rPr>
                <w:rFonts w:eastAsia="Times New Roman" w:cs="Arial"/>
                <w:color w:val="000000"/>
                <w:szCs w:val="22"/>
              </w:rPr>
              <w:t xml:space="preserve">OR </w:t>
            </w:r>
            <w:r w:rsidR="000A374C" w:rsidRPr="000F6077">
              <w:rPr>
                <w:rFonts w:eastAsia="Times New Roman" w:cs="Arial"/>
                <w:color w:val="000000"/>
                <w:szCs w:val="22"/>
              </w:rPr>
              <w:t>Business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374C" w:rsidRPr="000F6077" w:rsidRDefault="000A374C" w:rsidP="001E74C1">
            <w:pPr>
              <w:rPr>
                <w:rFonts w:eastAsia="Times New Roman" w:cs="Arial"/>
                <w:szCs w:val="22"/>
              </w:rPr>
            </w:pPr>
            <w:r w:rsidRPr="000F6077">
              <w:rPr>
                <w:rFonts w:eastAsia="Times New Roman" w:cs="Arial"/>
                <w:color w:val="000000"/>
                <w:szCs w:val="22"/>
              </w:rPr>
              <w:t>BUS 110 OR BUS 115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374C" w:rsidRPr="000F6077" w:rsidRDefault="000A374C" w:rsidP="001E74C1">
            <w:pPr>
              <w:rPr>
                <w:rFonts w:eastAsia="Times New Roman" w:cs="Arial"/>
                <w:szCs w:val="22"/>
              </w:rPr>
            </w:pP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b/>
                <w:bCs/>
                <w:color w:val="000000"/>
                <w:szCs w:val="22"/>
              </w:rPr>
              <w:t>TOTAL MAJOR UNITS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b/>
                <w:bCs/>
                <w:color w:val="000000"/>
                <w:szCs w:val="22"/>
              </w:rPr>
              <w:t>24</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b/>
                <w:bCs/>
                <w:color w:val="000000"/>
                <w:szCs w:val="22"/>
              </w:rPr>
              <w:t>CSU GE Requirements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39</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b/>
                <w:bCs/>
                <w:color w:val="000000"/>
                <w:szCs w:val="22"/>
              </w:rPr>
              <w:t>Double Counting GE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b/>
                <w:bCs/>
                <w:color w:val="000000"/>
                <w:szCs w:val="22"/>
              </w:rPr>
              <w:t>Elective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3-6*</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b/>
                <w:bCs/>
                <w:color w:val="000000"/>
                <w:szCs w:val="22"/>
              </w:rPr>
              <w:t>Total Units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b/>
                <w:bCs/>
                <w:color w:val="000000"/>
                <w:szCs w:val="22"/>
              </w:rPr>
              <w:t>60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b/>
                <w:bCs/>
                <w:color w:val="000000"/>
                <w:szCs w:val="22"/>
              </w:rPr>
              <w:t>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b/>
                <w:bCs/>
                <w:color w:val="000000"/>
                <w:szCs w:val="22"/>
              </w:rPr>
              <w:t>TOTAL MAJOR UNITS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b/>
                <w:bCs/>
                <w:color w:val="000000"/>
                <w:szCs w:val="22"/>
              </w:rPr>
              <w:t>24</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b/>
                <w:bCs/>
                <w:color w:val="000000"/>
                <w:szCs w:val="22"/>
              </w:rPr>
              <w:t>IGETC Requirements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37</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b/>
                <w:bCs/>
                <w:color w:val="000000"/>
                <w:szCs w:val="22"/>
              </w:rPr>
              <w:t>Double Counting GE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b/>
                <w:bCs/>
                <w:color w:val="000000"/>
                <w:szCs w:val="22"/>
              </w:rPr>
              <w:t>Elective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5-8*</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color w:val="000000"/>
                <w:szCs w:val="22"/>
              </w:rPr>
              <w:t> </w:t>
            </w:r>
          </w:p>
        </w:tc>
      </w:tr>
      <w:tr w:rsidR="000A374C" w:rsidRPr="000F6077" w:rsidTr="001E74C1">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b/>
                <w:bCs/>
                <w:color w:val="000000"/>
                <w:szCs w:val="22"/>
              </w:rPr>
              <w:t>Total Units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rPr>
                <w:rFonts w:eastAsia="Times New Roman" w:cs="Arial"/>
                <w:szCs w:val="22"/>
              </w:rPr>
            </w:pPr>
            <w:r w:rsidRPr="000F6077">
              <w:rPr>
                <w:rFonts w:eastAsia="Times New Roman" w:cs="Arial"/>
                <w:color w:val="000000"/>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b/>
                <w:bCs/>
                <w:color w:val="000000"/>
                <w:szCs w:val="22"/>
              </w:rPr>
              <w:t>60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rsidR="000A374C" w:rsidRPr="000F6077" w:rsidRDefault="000A374C" w:rsidP="001E74C1">
            <w:pPr>
              <w:jc w:val="center"/>
              <w:rPr>
                <w:rFonts w:eastAsia="Times New Roman" w:cs="Arial"/>
                <w:szCs w:val="22"/>
              </w:rPr>
            </w:pPr>
            <w:r w:rsidRPr="000F6077">
              <w:rPr>
                <w:rFonts w:eastAsia="Times New Roman" w:cs="Arial"/>
                <w:b/>
                <w:bCs/>
                <w:color w:val="000000"/>
                <w:szCs w:val="22"/>
              </w:rPr>
              <w:t> </w:t>
            </w:r>
          </w:p>
        </w:tc>
      </w:tr>
    </w:tbl>
    <w:p w:rsidR="006464C4" w:rsidRPr="000F6077" w:rsidRDefault="006464C4" w:rsidP="006464C4">
      <w:pPr>
        <w:rPr>
          <w:rFonts w:cs="Arial"/>
          <w:szCs w:val="22"/>
        </w:rPr>
      </w:pPr>
    </w:p>
    <w:p w:rsidR="00BC112B" w:rsidRDefault="0063441D" w:rsidP="0071053F">
      <w:pPr>
        <w:rPr>
          <w:shd w:val="clear" w:color="auto" w:fill="FFFFFF"/>
        </w:rPr>
      </w:pPr>
      <w:r w:rsidRPr="000F6077">
        <w:rPr>
          <w:rFonts w:eastAsia="Times New Roman"/>
        </w:rPr>
        <w:lastRenderedPageBreak/>
        <w:t>*</w:t>
      </w:r>
      <w:r w:rsidRPr="000F6077">
        <w:rPr>
          <w:shd w:val="clear" w:color="auto" w:fill="FFFFFF"/>
        </w:rPr>
        <w:t xml:space="preserve"> Computer Applications (BUS 140) is required at many CSU campuses, so CCCs should advise Business Administration majors to explore local CSU requirements and plan their transfer paths accordingly. At a minimum, all transfer students should be fluent </w:t>
      </w:r>
      <w:r w:rsidRPr="000F6077">
        <w:t>with functions and applications of spreadsheet programs such as Microsoft Excel</w:t>
      </w:r>
      <w:r w:rsidRPr="000F6077">
        <w:rPr>
          <w:shd w:val="clear" w:color="auto" w:fill="FFFFFF"/>
        </w:rPr>
        <w:t>. In addition, students should also be encouraged to use the Area D units remaining after the two Economics courses to complete one of their American Institutions requirements.</w:t>
      </w:r>
    </w:p>
    <w:p w:rsidR="000F6077" w:rsidRPr="0071053F" w:rsidRDefault="000F6077" w:rsidP="0071053F">
      <w:pPr>
        <w:pStyle w:val="Heading2"/>
        <w:jc w:val="center"/>
      </w:pPr>
      <w:r w:rsidRPr="0071053F">
        <w:t>BUSINESS ADMINISTRATION TMC</w:t>
      </w:r>
    </w:p>
    <w:p w:rsidR="000F6077" w:rsidRPr="000F6077" w:rsidRDefault="000F6077" w:rsidP="0071053F">
      <w:pPr>
        <w:spacing w:after="160"/>
        <w:jc w:val="center"/>
        <w:rPr>
          <w:rFonts w:eastAsia="Times New Roman" w:cs="Arial"/>
          <w:szCs w:val="22"/>
        </w:rPr>
      </w:pPr>
      <w:r w:rsidRPr="000F6077">
        <w:rPr>
          <w:rFonts w:eastAsia="Times New Roman" w:cs="Arial"/>
          <w:b/>
          <w:bCs/>
          <w:color w:val="000000"/>
          <w:szCs w:val="22"/>
        </w:rPr>
        <w:t>Guiding Principles and Response to Vetting</w:t>
      </w:r>
    </w:p>
    <w:p w:rsidR="000F6077" w:rsidRPr="0071053F" w:rsidRDefault="000F6077" w:rsidP="0071053F">
      <w:r w:rsidRPr="000F6077">
        <w:rPr>
          <w:rFonts w:eastAsia="Times New Roman" w:cs="Arial"/>
          <w:color w:val="000000"/>
          <w:szCs w:val="22"/>
          <w:shd w:val="clear" w:color="auto" w:fill="FFFFFF"/>
        </w:rPr>
        <w:t xml:space="preserve">The second round of vetting for the Business Administration Transfer Model Curriculum (TMC) </w:t>
      </w:r>
      <w:r w:rsidRPr="0071053F">
        <w:t>closed in late September. The Faculty Discipline Review Group (FDRG) -- representing the CCCs and the CSUs -- carefully and thoroughly reviewed all responses. </w:t>
      </w:r>
    </w:p>
    <w:p w:rsidR="000F6077" w:rsidRPr="000F6077" w:rsidRDefault="000F6077" w:rsidP="0071053F">
      <w:pPr>
        <w:rPr>
          <w:rFonts w:eastAsia="Times New Roman" w:cs="Arial"/>
          <w:szCs w:val="22"/>
        </w:rPr>
      </w:pPr>
      <w:r w:rsidRPr="0071053F">
        <w:t>The charge of the Business Administration FDRG is to create a degree that prepares students for transfer and provides them with interdisciplinary preparation necessary for upper division success, regardless of the receiving CSU campus to which they transfer. This task must be accomplished within the</w:t>
      </w:r>
      <w:r w:rsidRPr="000F6077">
        <w:rPr>
          <w:rFonts w:eastAsia="Times New Roman" w:cs="Arial"/>
          <w:color w:val="000000"/>
          <w:szCs w:val="22"/>
          <w:shd w:val="clear" w:color="auto" w:fill="FFFFFF"/>
        </w:rPr>
        <w:t xml:space="preserve"> guidelines of SB 1440 at the direction of the California legislature.  </w:t>
      </w:r>
    </w:p>
    <w:p w:rsidR="000F6077" w:rsidRPr="0071053F" w:rsidRDefault="000F6077" w:rsidP="0071053F">
      <w:pPr>
        <w:pStyle w:val="Heading3"/>
      </w:pPr>
      <w:r w:rsidRPr="0071053F">
        <w:t>HISTORY</w:t>
      </w:r>
    </w:p>
    <w:p w:rsidR="000F6077" w:rsidRPr="000F6077" w:rsidRDefault="000F6077" w:rsidP="000F6077">
      <w:pPr>
        <w:rPr>
          <w:rFonts w:eastAsia="Times New Roman" w:cs="Arial"/>
          <w:szCs w:val="22"/>
        </w:rPr>
      </w:pPr>
      <w:r w:rsidRPr="000F6077">
        <w:rPr>
          <w:rFonts w:eastAsia="Times New Roman" w:cs="Arial"/>
          <w:color w:val="000000"/>
          <w:szCs w:val="22"/>
          <w:shd w:val="clear" w:color="auto" w:fill="FFFFFF"/>
        </w:rPr>
        <w:t xml:space="preserve">The FDRG first developed and approved a TMC in December of 2012.  A five-year review was completed in 2018 with minor adjustments made for clarification purposes.  Shortly thereafter the Math FDRG augmented the prerequisite to the statistics descriptor (MATH 110) from “intermediate algebra” to “intermediate algebra or any CSU accepted statistics pathway curriculum prerequisite”. Further explanation of the language can be found at </w:t>
      </w:r>
      <w:hyperlink r:id="rId8" w:history="1">
        <w:r w:rsidRPr="000F6077">
          <w:rPr>
            <w:rStyle w:val="Hyperlink"/>
            <w:rFonts w:eastAsia="Times New Roman" w:cs="Arial"/>
            <w:szCs w:val="22"/>
            <w:shd w:val="clear" w:color="auto" w:fill="FFFFFF"/>
          </w:rPr>
          <w:t>c-id.net</w:t>
        </w:r>
      </w:hyperlink>
      <w:r w:rsidRPr="000F6077">
        <w:rPr>
          <w:rFonts w:eastAsia="Times New Roman" w:cs="Arial"/>
          <w:color w:val="000000"/>
          <w:szCs w:val="22"/>
          <w:shd w:val="clear" w:color="auto" w:fill="FFFFFF"/>
        </w:rPr>
        <w:t>. The CSU Chancellor’s office and the CSU Academic Senate considered this a “significant change,” concerned that a transfer student might not have appropriate algebra skills to succeed in CSU business programs. In response, the FDRG re-opened the Business Administration TMC in February of 2019. </w:t>
      </w:r>
    </w:p>
    <w:p w:rsidR="000F6077" w:rsidRPr="000F6077" w:rsidRDefault="000F6077" w:rsidP="000F6077">
      <w:pPr>
        <w:rPr>
          <w:rFonts w:eastAsia="Times New Roman" w:cs="Arial"/>
          <w:szCs w:val="22"/>
        </w:rPr>
      </w:pPr>
      <w:r w:rsidRPr="000F6077">
        <w:rPr>
          <w:rFonts w:eastAsia="Times New Roman" w:cs="Arial"/>
          <w:color w:val="000000"/>
          <w:szCs w:val="22"/>
          <w:shd w:val="clear" w:color="auto" w:fill="FFFFFF"/>
        </w:rPr>
        <w:t>This FDRG-modified TMC went out for vetting in February of this year.  Changes based upon comments received were incorporated and the new draft TMC went out for review in September.  The participation rate for this second round was impressive, with twice as many responses received than for TMCs in any other discipline. Twenty-five of these responses were described as department evaluations.</w:t>
      </w:r>
    </w:p>
    <w:p w:rsidR="000F6077" w:rsidRPr="0071053F" w:rsidRDefault="000F6077" w:rsidP="0071053F">
      <w:pPr>
        <w:pStyle w:val="Heading3"/>
      </w:pPr>
      <w:r w:rsidRPr="0071053F">
        <w:t>FEEDBACK</w:t>
      </w:r>
    </w:p>
    <w:p w:rsidR="000F6077" w:rsidRPr="0071053F" w:rsidRDefault="0071053F" w:rsidP="0071053F">
      <w:pPr>
        <w:pStyle w:val="Heading4"/>
      </w:pPr>
      <w:r w:rsidRPr="0071053F">
        <w:t>Second Math Course</w:t>
      </w:r>
    </w:p>
    <w:p w:rsidR="000F6077" w:rsidRPr="0071053F" w:rsidRDefault="000F6077" w:rsidP="000F6077">
      <w:r w:rsidRPr="000F6077">
        <w:rPr>
          <w:shd w:val="clear" w:color="auto" w:fill="FFFFFF"/>
        </w:rPr>
        <w:t>The FDRG’s decision to move a second math course to the core was well received in the February vetting.  Concerns were raised, though, about the best math course to add.  While most CSUs require finite math or business calculus, several campuses -- including CSU Los Angeles, CSU Dominguez Hills and CSU San Bernardino –require another course (e.g., college algebra). A close review of college algebra syllabi showed the course to be at a comparable level to finite math and to include many of the same topics. To make this work for all CSUs, in September the FDRG recommended the following option: “A m</w:t>
      </w:r>
      <w:r w:rsidRPr="000F6077">
        <w:t>ath course (excluding Statistics) articulated for the Business major at a CSU campus.” This assures all CSUs that transfer students will arrive with a CSU-approved math, while giving CCCs flexibility if a local CSU has other requirements.</w:t>
      </w:r>
    </w:p>
    <w:p w:rsidR="000F6077" w:rsidRPr="000F6077" w:rsidRDefault="000F6077" w:rsidP="0071053F">
      <w:r w:rsidRPr="000F6077">
        <w:lastRenderedPageBreak/>
        <w:t xml:space="preserve">Most importantly, this change </w:t>
      </w:r>
      <w:r w:rsidRPr="000F6077">
        <w:rPr>
          <w:shd w:val="clear" w:color="auto" w:fill="FFFFFF"/>
        </w:rPr>
        <w:t>addresses the concern that prompted the re-opening of the degree:  All transfer students will arrive with math topical exposure designed to promote success after transferring to a CSU Business program.</w:t>
      </w:r>
    </w:p>
    <w:p w:rsidR="000F6077" w:rsidRPr="000F6077" w:rsidRDefault="000F6077" w:rsidP="0071053F">
      <w:r w:rsidRPr="000F6077">
        <w:t>This change was well received, with 100% of CSUs in favor and 71% of all respondents voting “yes” or “Decline to Comment/Not Qualified to Assess.”</w:t>
      </w:r>
    </w:p>
    <w:p w:rsidR="000F6077" w:rsidRPr="0071053F" w:rsidRDefault="0071053F" w:rsidP="0071053F">
      <w:pPr>
        <w:pStyle w:val="Heading4"/>
      </w:pPr>
      <w:r w:rsidRPr="000F6077">
        <w:t xml:space="preserve">Introduction </w:t>
      </w:r>
      <w:r>
        <w:t>t</w:t>
      </w:r>
      <w:r w:rsidRPr="000F6077">
        <w:t>o Business/Business Communications</w:t>
      </w:r>
    </w:p>
    <w:p w:rsidR="000F6077" w:rsidRPr="000F6077" w:rsidRDefault="000F6077" w:rsidP="000F6077">
      <w:pPr>
        <w:rPr>
          <w:rFonts w:eastAsia="Times New Roman" w:cs="Arial"/>
          <w:szCs w:val="22"/>
        </w:rPr>
      </w:pPr>
      <w:r w:rsidRPr="000F6077">
        <w:rPr>
          <w:rFonts w:eastAsia="Times New Roman" w:cs="Arial"/>
          <w:color w:val="000000"/>
          <w:szCs w:val="22"/>
          <w:shd w:val="clear" w:color="auto" w:fill="FFFFFF"/>
        </w:rPr>
        <w:t xml:space="preserve">The proposal to move Introduction to Business to the core as a required course rather than an option received considerable attention from the respondents in the February vetting.  A significant number of respondents stressed the need for business writing skills, and many made the point that Business Communication is required at more CSUs than is Introduction to Business.  In order to give each </w:t>
      </w:r>
      <w:proofErr w:type="gramStart"/>
      <w:r w:rsidRPr="000F6077">
        <w:rPr>
          <w:rFonts w:eastAsia="Times New Roman" w:cs="Arial"/>
          <w:color w:val="000000"/>
          <w:szCs w:val="22"/>
          <w:shd w:val="clear" w:color="auto" w:fill="FFFFFF"/>
        </w:rPr>
        <w:t>campus</w:t>
      </w:r>
      <w:proofErr w:type="gramEnd"/>
      <w:r w:rsidRPr="000F6077">
        <w:rPr>
          <w:rFonts w:eastAsia="Times New Roman" w:cs="Arial"/>
          <w:color w:val="000000"/>
          <w:szCs w:val="22"/>
          <w:shd w:val="clear" w:color="auto" w:fill="FFFFFF"/>
        </w:rPr>
        <w:t xml:space="preserve"> the flexibility to meet the needs of its local CSU, a Business Communication OR Introduction to Business option was proposed for the Core in September. It should be noted that Introduction to Business is required in the UC pathway for business.</w:t>
      </w:r>
    </w:p>
    <w:p w:rsidR="000F6077" w:rsidRPr="000F6077" w:rsidRDefault="000F6077" w:rsidP="000F6077">
      <w:pPr>
        <w:rPr>
          <w:rFonts w:eastAsia="Times New Roman" w:cs="Arial"/>
          <w:szCs w:val="22"/>
        </w:rPr>
      </w:pPr>
      <w:r w:rsidRPr="000F6077">
        <w:rPr>
          <w:rFonts w:eastAsia="Times New Roman" w:cs="Arial"/>
          <w:color w:val="000000"/>
          <w:szCs w:val="22"/>
          <w:shd w:val="clear" w:color="auto" w:fill="FFFFFF"/>
        </w:rPr>
        <w:t>This change, too, was well received.  Sixty-six percent agreed or decline to comment. Those voting “no” frequently cited the desire for Business Communication to be the only option.</w:t>
      </w:r>
    </w:p>
    <w:p w:rsidR="000F6077" w:rsidRPr="000F6077" w:rsidRDefault="000F6077" w:rsidP="0071053F">
      <w:pPr>
        <w:rPr>
          <w:rFonts w:eastAsia="Times New Roman" w:cs="Arial"/>
          <w:szCs w:val="22"/>
        </w:rPr>
      </w:pPr>
      <w:r w:rsidRPr="000F6077">
        <w:rPr>
          <w:rFonts w:eastAsia="Times New Roman" w:cs="Arial"/>
          <w:color w:val="000000"/>
          <w:szCs w:val="22"/>
          <w:shd w:val="clear" w:color="auto" w:fill="FFFFFF"/>
        </w:rPr>
        <w:t xml:space="preserve">The FDRG weighed all concerns, and chose to stay with the option provided. Helping </w:t>
      </w:r>
      <w:proofErr w:type="gramStart"/>
      <w:r w:rsidRPr="000F6077">
        <w:rPr>
          <w:rFonts w:eastAsia="Times New Roman" w:cs="Arial"/>
          <w:color w:val="000000"/>
          <w:szCs w:val="22"/>
          <w:shd w:val="clear" w:color="auto" w:fill="FFFFFF"/>
        </w:rPr>
        <w:t>shape</w:t>
      </w:r>
      <w:proofErr w:type="gramEnd"/>
      <w:r w:rsidRPr="000F6077">
        <w:rPr>
          <w:rFonts w:eastAsia="Times New Roman" w:cs="Arial"/>
          <w:color w:val="000000"/>
          <w:szCs w:val="22"/>
          <w:shd w:val="clear" w:color="auto" w:fill="FFFFFF"/>
        </w:rPr>
        <w:t xml:space="preserve"> this decision was the fact that each CCC has the option to choose the course that best meets the needs of its local CSU, which was the intent of the California legislature when passing SB 1440.</w:t>
      </w:r>
    </w:p>
    <w:p w:rsidR="000F6077" w:rsidRPr="0071053F" w:rsidRDefault="0071053F" w:rsidP="0071053F">
      <w:pPr>
        <w:pStyle w:val="Heading4"/>
        <w:rPr>
          <w:sz w:val="22"/>
        </w:rPr>
      </w:pPr>
      <w:r w:rsidRPr="000F6077">
        <w:t>Computer Skills Advisory</w:t>
      </w:r>
    </w:p>
    <w:p w:rsidR="000F6077" w:rsidRPr="000F6077" w:rsidRDefault="000F6077" w:rsidP="000F6077">
      <w:pPr>
        <w:rPr>
          <w:rFonts w:eastAsia="Times New Roman" w:cs="Arial"/>
          <w:szCs w:val="22"/>
        </w:rPr>
      </w:pPr>
      <w:r w:rsidRPr="000F6077">
        <w:rPr>
          <w:rFonts w:eastAsia="Times New Roman" w:cs="Arial"/>
          <w:color w:val="000000"/>
          <w:szCs w:val="22"/>
          <w:shd w:val="clear" w:color="auto" w:fill="FFFFFF"/>
        </w:rPr>
        <w:t>The FDRG agreed that transfer students should possess fundamental computer literacy/skills, with emphasis on competency in using Excel. The FDRG reviewed the computer skills/data analytics requirement of the CSU business programs and determined that these requirements varied considerably, with no real consensus among the CSU business schools. The FDRG therefore recommended an advisory emphasizing basic skill and competency in using Excel.  </w:t>
      </w:r>
    </w:p>
    <w:p w:rsidR="000F6077" w:rsidRPr="000F6077" w:rsidRDefault="000F6077" w:rsidP="000F6077">
      <w:pPr>
        <w:rPr>
          <w:rFonts w:eastAsia="Times New Roman" w:cs="Arial"/>
          <w:szCs w:val="22"/>
        </w:rPr>
      </w:pPr>
      <w:r w:rsidRPr="000F6077">
        <w:rPr>
          <w:rFonts w:eastAsia="Times New Roman" w:cs="Arial"/>
          <w:color w:val="000000"/>
          <w:szCs w:val="22"/>
          <w:shd w:val="clear" w:color="auto" w:fill="FFFFFF"/>
        </w:rPr>
        <w:t>The September vetting responses were positive. More than 75% agreed with this recommendation or chose not to comment.  </w:t>
      </w:r>
    </w:p>
    <w:p w:rsidR="000F6077" w:rsidRPr="0071053F" w:rsidRDefault="0071053F" w:rsidP="0071053F">
      <w:pPr>
        <w:pStyle w:val="Heading4"/>
        <w:rPr>
          <w:sz w:val="22"/>
        </w:rPr>
      </w:pPr>
      <w:r w:rsidRPr="000F6077">
        <w:t>Conclusion</w:t>
      </w:r>
    </w:p>
    <w:p w:rsidR="000F6077" w:rsidRPr="000F6077" w:rsidRDefault="000F6077" w:rsidP="000F6077">
      <w:pPr>
        <w:rPr>
          <w:rFonts w:eastAsia="Times New Roman" w:cs="Arial"/>
          <w:szCs w:val="22"/>
        </w:rPr>
      </w:pPr>
      <w:r w:rsidRPr="000F6077">
        <w:rPr>
          <w:rFonts w:eastAsia="Times New Roman" w:cs="Arial"/>
          <w:color w:val="000000"/>
          <w:szCs w:val="22"/>
          <w:shd w:val="clear" w:color="auto" w:fill="FFFFFF"/>
        </w:rPr>
        <w:t xml:space="preserve">The FDRG vote was unanimous:  The September TMC best meets the needs of the transfer students, the CCCs and CSUs and should be forwarded to the </w:t>
      </w:r>
      <w:r w:rsidRPr="000F6077">
        <w:rPr>
          <w:rFonts w:eastAsia="Times New Roman" w:cs="Arial"/>
          <w:color w:val="212121"/>
          <w:szCs w:val="22"/>
          <w:shd w:val="clear" w:color="auto" w:fill="FFFFFF"/>
        </w:rPr>
        <w:t xml:space="preserve">Intersegmental Curriculum Faculty Workgroup </w:t>
      </w:r>
      <w:r w:rsidRPr="000F6077">
        <w:rPr>
          <w:rFonts w:eastAsia="Times New Roman" w:cs="Arial"/>
          <w:color w:val="000000"/>
          <w:szCs w:val="22"/>
          <w:shd w:val="clear" w:color="auto" w:fill="FFFFFF"/>
        </w:rPr>
        <w:t>for approval. </w:t>
      </w:r>
    </w:p>
    <w:p w:rsidR="000F6077" w:rsidRPr="000F6077" w:rsidRDefault="000F6077" w:rsidP="000F6077">
      <w:pPr>
        <w:rPr>
          <w:rFonts w:eastAsia="Times New Roman" w:cs="Arial"/>
          <w:szCs w:val="22"/>
        </w:rPr>
      </w:pPr>
      <w:r w:rsidRPr="000F6077">
        <w:rPr>
          <w:rFonts w:eastAsia="Times New Roman" w:cs="Arial"/>
          <w:color w:val="212121"/>
          <w:szCs w:val="22"/>
          <w:shd w:val="clear" w:color="auto" w:fill="FFFFFF"/>
        </w:rPr>
        <w:t>The revised Business Administration TMC also has the advantage of being simpler than the original version, which had a Core, a List A, and a List B (which included a course that was included in List A not already taken). This should reduce questions and confusion amongst students and during curriculum development.</w:t>
      </w:r>
    </w:p>
    <w:p w:rsidR="006464C4" w:rsidRPr="0071053F" w:rsidRDefault="000F6077" w:rsidP="0063441D">
      <w:pPr>
        <w:rPr>
          <w:rFonts w:eastAsia="Times New Roman" w:cs="Arial"/>
          <w:szCs w:val="22"/>
        </w:rPr>
      </w:pPr>
      <w:r w:rsidRPr="000F6077">
        <w:rPr>
          <w:rFonts w:eastAsia="Times New Roman" w:cs="Arial"/>
          <w:color w:val="000000"/>
          <w:szCs w:val="22"/>
          <w:shd w:val="clear" w:color="auto" w:fill="FFFFFF"/>
        </w:rPr>
        <w:t>Bottom line, this was a challenging task because of the varying requirements at the CSUs and the 60-unit cap imposed by the California legislature.  The FDRG -- representing both CCCs and the CSUs -- carefully weighed all options and chose the path that they feel will best prepare our transfer students for upper division success while facilitating transfer to all CSU campuses. </w:t>
      </w:r>
    </w:p>
    <w:sectPr w:rsidR="006464C4" w:rsidRPr="0071053F" w:rsidSect="0071053F">
      <w:footerReference w:type="default" r:id="rId9"/>
      <w:pgSz w:w="12240" w:h="15840"/>
      <w:pgMar w:top="156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3924" w:rsidRDefault="00BA3924" w:rsidP="009873CB">
      <w:r>
        <w:separator/>
      </w:r>
    </w:p>
  </w:endnote>
  <w:endnote w:type="continuationSeparator" w:id="0">
    <w:p w:rsidR="00BA3924" w:rsidRDefault="00BA3924" w:rsidP="0098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73CB" w:rsidRDefault="009873CB">
    <w:pPr>
      <w:pStyle w:val="Footer"/>
    </w:pPr>
    <w:r>
      <w:t>Accepted by the Intersegmental Curriculum Faculty Workgroup (ICFW) April 20, 2020</w:t>
    </w:r>
  </w:p>
  <w:p w:rsidR="009873CB" w:rsidRDefault="0098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3924" w:rsidRDefault="00BA3924" w:rsidP="009873CB">
      <w:r>
        <w:separator/>
      </w:r>
    </w:p>
  </w:footnote>
  <w:footnote w:type="continuationSeparator" w:id="0">
    <w:p w:rsidR="00BA3924" w:rsidRDefault="00BA3924" w:rsidP="0098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65D1E"/>
    <w:multiLevelType w:val="hybridMultilevel"/>
    <w:tmpl w:val="16F049D8"/>
    <w:lvl w:ilvl="0" w:tplc="4F5E1EB4">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37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27"/>
    <w:rsid w:val="000A374C"/>
    <w:rsid w:val="000F6077"/>
    <w:rsid w:val="001669EA"/>
    <w:rsid w:val="001E74C1"/>
    <w:rsid w:val="00254527"/>
    <w:rsid w:val="0027028F"/>
    <w:rsid w:val="00350E68"/>
    <w:rsid w:val="00356219"/>
    <w:rsid w:val="0037215D"/>
    <w:rsid w:val="003D569D"/>
    <w:rsid w:val="003F3DFD"/>
    <w:rsid w:val="00597935"/>
    <w:rsid w:val="0063441D"/>
    <w:rsid w:val="006464C4"/>
    <w:rsid w:val="006536F1"/>
    <w:rsid w:val="0071053F"/>
    <w:rsid w:val="0086649B"/>
    <w:rsid w:val="009873CB"/>
    <w:rsid w:val="00A26413"/>
    <w:rsid w:val="00A42ABD"/>
    <w:rsid w:val="00B00D70"/>
    <w:rsid w:val="00BA3924"/>
    <w:rsid w:val="00BC112B"/>
    <w:rsid w:val="00CC6410"/>
    <w:rsid w:val="00DA3CBF"/>
    <w:rsid w:val="00ED2A7F"/>
    <w:rsid w:val="00EF6AAB"/>
    <w:rsid w:val="00F32A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A506DBE-D5E9-C14C-BFD1-93CDB860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3F"/>
    <w:pPr>
      <w:spacing w:after="120"/>
    </w:pPr>
    <w:rPr>
      <w:rFonts w:ascii="Arial" w:eastAsia="Cambria" w:hAnsi="Arial"/>
      <w:sz w:val="22"/>
      <w:szCs w:val="24"/>
    </w:rPr>
  </w:style>
  <w:style w:type="paragraph" w:styleId="Heading1">
    <w:name w:val="heading 1"/>
    <w:basedOn w:val="Normal"/>
    <w:next w:val="Normal"/>
    <w:link w:val="Heading1Char"/>
    <w:qFormat/>
    <w:rsid w:val="0071053F"/>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71053F"/>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71053F"/>
    <w:pPr>
      <w:keepNext/>
      <w:keepLines/>
      <w:spacing w:before="40" w:after="100"/>
      <w:outlineLvl w:val="2"/>
    </w:pPr>
    <w:rPr>
      <w:rFonts w:eastAsiaTheme="majorEastAsia" w:cs="Arial"/>
      <w:b/>
      <w:bCs/>
      <w:color w:val="000000" w:themeColor="text1"/>
      <w:sz w:val="23"/>
      <w:szCs w:val="23"/>
    </w:rPr>
  </w:style>
  <w:style w:type="paragraph" w:styleId="Heading4">
    <w:name w:val="heading 4"/>
    <w:basedOn w:val="Normal"/>
    <w:next w:val="Normal"/>
    <w:link w:val="Heading4Char"/>
    <w:uiPriority w:val="9"/>
    <w:unhideWhenUsed/>
    <w:qFormat/>
    <w:rsid w:val="0071053F"/>
    <w:pPr>
      <w:keepNext/>
      <w:keepLines/>
      <w:spacing w:before="40"/>
      <w:outlineLvl w:val="3"/>
    </w:pPr>
    <w:rPr>
      <w:rFonts w:eastAsia="Times New Roman" w:cs="Arial"/>
      <w:b/>
      <w:bCs/>
      <w:color w:val="000000" w:themeColor="text1"/>
      <w:sz w:val="23"/>
      <w:szCs w:val="23"/>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4527"/>
    <w:pPr>
      <w:spacing w:beforeLines="1" w:afterLines="1"/>
    </w:pPr>
    <w:rPr>
      <w:rFonts w:ascii="Times" w:hAnsi="Times"/>
      <w:sz w:val="20"/>
      <w:szCs w:val="20"/>
    </w:rPr>
  </w:style>
  <w:style w:type="table" w:styleId="TableGrid">
    <w:name w:val="Table Grid"/>
    <w:basedOn w:val="TableNormal"/>
    <w:uiPriority w:val="59"/>
    <w:rsid w:val="00254527"/>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F0EB8"/>
    <w:rPr>
      <w:rFonts w:ascii="Lucida Grande" w:hAnsi="Lucida Grande"/>
      <w:sz w:val="18"/>
      <w:szCs w:val="18"/>
      <w:lang w:val="x-none" w:eastAsia="x-none"/>
    </w:rPr>
  </w:style>
  <w:style w:type="character" w:customStyle="1" w:styleId="BalloonTextChar">
    <w:name w:val="Balloon Text Char"/>
    <w:link w:val="BalloonText"/>
    <w:uiPriority w:val="99"/>
    <w:semiHidden/>
    <w:rsid w:val="001F0EB8"/>
    <w:rPr>
      <w:rFonts w:ascii="Lucida Grande" w:eastAsia="Cambria" w:hAnsi="Lucida Grande" w:cs="Lucida Grande"/>
      <w:sz w:val="18"/>
      <w:szCs w:val="18"/>
    </w:rPr>
  </w:style>
  <w:style w:type="paragraph" w:styleId="Header">
    <w:name w:val="header"/>
    <w:basedOn w:val="Normal"/>
    <w:link w:val="HeaderChar"/>
    <w:uiPriority w:val="99"/>
    <w:unhideWhenUsed/>
    <w:rsid w:val="009873CB"/>
    <w:pPr>
      <w:tabs>
        <w:tab w:val="center" w:pos="4680"/>
        <w:tab w:val="right" w:pos="9360"/>
      </w:tabs>
    </w:pPr>
  </w:style>
  <w:style w:type="character" w:customStyle="1" w:styleId="HeaderChar">
    <w:name w:val="Header Char"/>
    <w:link w:val="Header"/>
    <w:uiPriority w:val="99"/>
    <w:rsid w:val="009873CB"/>
    <w:rPr>
      <w:rFonts w:eastAsia="Cambria"/>
      <w:sz w:val="24"/>
      <w:szCs w:val="24"/>
    </w:rPr>
  </w:style>
  <w:style w:type="paragraph" w:styleId="Footer">
    <w:name w:val="footer"/>
    <w:basedOn w:val="Normal"/>
    <w:link w:val="FooterChar"/>
    <w:uiPriority w:val="99"/>
    <w:unhideWhenUsed/>
    <w:rsid w:val="009873CB"/>
    <w:pPr>
      <w:tabs>
        <w:tab w:val="center" w:pos="4680"/>
        <w:tab w:val="right" w:pos="9360"/>
      </w:tabs>
    </w:pPr>
  </w:style>
  <w:style w:type="character" w:customStyle="1" w:styleId="FooterChar">
    <w:name w:val="Footer Char"/>
    <w:link w:val="Footer"/>
    <w:uiPriority w:val="99"/>
    <w:rsid w:val="009873CB"/>
    <w:rPr>
      <w:rFonts w:eastAsia="Cambria"/>
      <w:sz w:val="24"/>
      <w:szCs w:val="24"/>
    </w:rPr>
  </w:style>
  <w:style w:type="character" w:styleId="Hyperlink">
    <w:name w:val="Hyperlink"/>
    <w:rsid w:val="0071053F"/>
    <w:rPr>
      <w:color w:val="4472C4"/>
      <w:u w:val="single"/>
    </w:rPr>
  </w:style>
  <w:style w:type="character" w:customStyle="1" w:styleId="Heading1Char">
    <w:name w:val="Heading 1 Char"/>
    <w:link w:val="Heading1"/>
    <w:rsid w:val="0071053F"/>
    <w:rPr>
      <w:rFonts w:ascii="Calibri Light" w:eastAsia="Times New Roman" w:hAnsi="Calibri Light"/>
      <w:b/>
      <w:bCs/>
      <w:kern w:val="32"/>
      <w:sz w:val="32"/>
      <w:szCs w:val="32"/>
    </w:rPr>
  </w:style>
  <w:style w:type="character" w:customStyle="1" w:styleId="Heading2Char">
    <w:name w:val="Heading 2 Char"/>
    <w:link w:val="Heading2"/>
    <w:rsid w:val="0071053F"/>
    <w:rPr>
      <w:rFonts w:ascii="Arial" w:eastAsia="Times New Roman" w:hAnsi="Arial"/>
      <w:b/>
      <w:bCs/>
      <w:iCs/>
      <w:sz w:val="26"/>
      <w:szCs w:val="26"/>
    </w:rPr>
  </w:style>
  <w:style w:type="character" w:customStyle="1" w:styleId="Heading3Char">
    <w:name w:val="Heading 3 Char"/>
    <w:basedOn w:val="DefaultParagraphFont"/>
    <w:link w:val="Heading3"/>
    <w:rsid w:val="0071053F"/>
    <w:rPr>
      <w:rFonts w:ascii="Arial" w:eastAsiaTheme="majorEastAsia" w:hAnsi="Arial" w:cs="Arial"/>
      <w:b/>
      <w:bCs/>
      <w:color w:val="000000" w:themeColor="text1"/>
      <w:sz w:val="23"/>
      <w:szCs w:val="23"/>
    </w:rPr>
  </w:style>
  <w:style w:type="paragraph" w:customStyle="1" w:styleId="Numberlist-level1">
    <w:name w:val="Number list - level 1"/>
    <w:basedOn w:val="Normal"/>
    <w:qFormat/>
    <w:rsid w:val="0071053F"/>
    <w:pPr>
      <w:numPr>
        <w:numId w:val="1"/>
      </w:numPr>
      <w:spacing w:before="240"/>
    </w:pPr>
  </w:style>
  <w:style w:type="character" w:customStyle="1" w:styleId="Heading4Char">
    <w:name w:val="Heading 4 Char"/>
    <w:basedOn w:val="DefaultParagraphFont"/>
    <w:link w:val="Heading4"/>
    <w:uiPriority w:val="9"/>
    <w:rsid w:val="0071053F"/>
    <w:rPr>
      <w:rFonts w:ascii="Arial" w:eastAsia="Times New Roman" w:hAnsi="Arial" w:cs="Arial"/>
      <w:b/>
      <w:bCs/>
      <w:color w:val="000000"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id.net/descriptors/final/show/36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1119</Words>
  <Characters>6053</Characters>
  <Application>Microsoft Office Word</Application>
  <DocSecurity>0</DocSecurity>
  <Lines>178</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7145</CharactersWithSpaces>
  <SharedDoc>false</SharedDoc>
  <HyperlinkBase/>
  <HLinks>
    <vt:vector size="6" baseType="variant">
      <vt:variant>
        <vt:i4>2752611</vt:i4>
      </vt:variant>
      <vt:variant>
        <vt:i4>3</vt:i4>
      </vt:variant>
      <vt:variant>
        <vt:i4>0</vt:i4>
      </vt:variant>
      <vt:variant>
        <vt:i4>5</vt:i4>
      </vt:variant>
      <vt:variant>
        <vt:lpwstr>https://c-id.net/descriptors/final/show/365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Worksheet - Business Administration</dc:title>
  <dc:subject/>
  <dc:creator>Richard Gallo</dc:creator>
  <cp:keywords/>
  <dc:description/>
  <cp:lastModifiedBy>Katie Nash</cp:lastModifiedBy>
  <cp:revision>4</cp:revision>
  <dcterms:created xsi:type="dcterms:W3CDTF">2025-04-03T21:58:00Z</dcterms:created>
  <dcterms:modified xsi:type="dcterms:W3CDTF">2025-04-03T22:20:00Z</dcterms:modified>
  <cp:category/>
</cp:coreProperties>
</file>