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7066" w14:textId="5495A8BA" w:rsidR="00E77CEF" w:rsidRDefault="009C0A19" w:rsidP="009C0A19">
      <w:pPr>
        <w:pStyle w:val="Heading1"/>
        <w:spacing w:after="500"/>
      </w:pPr>
      <w:r w:rsidRPr="009B0596">
        <w:drawing>
          <wp:anchor distT="0" distB="0" distL="114300" distR="114300" simplePos="0" relativeHeight="251659264" behindDoc="1" locked="0" layoutInCell="1" allowOverlap="1" wp14:anchorId="7C7CC588" wp14:editId="59B2E259">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Model Curriculum 5-Year Review Summary - </w:t>
      </w:r>
      <w:r w:rsidRPr="009C0A19">
        <w:t>Physics</w:t>
      </w:r>
    </w:p>
    <w:p w14:paraId="44564499" w14:textId="77777777" w:rsidR="00665134" w:rsidRPr="00F916F0" w:rsidRDefault="00665134" w:rsidP="00F916F0">
      <w:pPr>
        <w:spacing w:after="240"/>
        <w:rPr>
          <w:rFonts w:cs="Arial"/>
          <w:szCs w:val="22"/>
        </w:rPr>
      </w:pPr>
      <w:r w:rsidRPr="00F916F0">
        <w:rPr>
          <w:rFonts w:cs="Arial"/>
          <w:szCs w:val="22"/>
        </w:rPr>
        <w:t>Please attach a copy of the vetting results for the TMC to the document.</w:t>
      </w:r>
    </w:p>
    <w:p w14:paraId="3C9286D0" w14:textId="3BED6A01" w:rsidR="00665134" w:rsidRPr="009808E6" w:rsidRDefault="00665134" w:rsidP="009C0A19">
      <w:pPr>
        <w:pStyle w:val="Numberlist-level1"/>
      </w:pPr>
      <w:r w:rsidRPr="009808E6">
        <w:t>Provide a breakdown of the respondents to the survey:</w:t>
      </w:r>
    </w:p>
    <w:p w14:paraId="5C4A9C3F" w14:textId="10B029E9" w:rsidR="00665134" w:rsidRPr="009C0A19" w:rsidRDefault="00665134" w:rsidP="009C0A19">
      <w:pPr>
        <w:pStyle w:val="ListBullet"/>
        <w:tabs>
          <w:tab w:val="clear" w:pos="360"/>
          <w:tab w:val="num" w:pos="720"/>
        </w:tabs>
        <w:ind w:left="720"/>
      </w:pPr>
      <w:r w:rsidRPr="009C0A19">
        <w:t># of CCC respondents:  59</w:t>
      </w:r>
    </w:p>
    <w:p w14:paraId="3559100D" w14:textId="76459FA8" w:rsidR="00665134" w:rsidRPr="009C0A19" w:rsidRDefault="00665134" w:rsidP="009C0A19">
      <w:pPr>
        <w:pStyle w:val="ListBullet"/>
        <w:tabs>
          <w:tab w:val="clear" w:pos="360"/>
          <w:tab w:val="num" w:pos="720"/>
        </w:tabs>
        <w:ind w:left="720"/>
      </w:pPr>
      <w:r w:rsidRPr="009C0A19">
        <w:t># of CSU respondents:  0</w:t>
      </w:r>
    </w:p>
    <w:p w14:paraId="34C9A388" w14:textId="409C6826" w:rsidR="00665134" w:rsidRPr="009C0A19" w:rsidRDefault="00665134" w:rsidP="009C0A19">
      <w:pPr>
        <w:pStyle w:val="ListBullet"/>
        <w:tabs>
          <w:tab w:val="clear" w:pos="360"/>
          <w:tab w:val="num" w:pos="720"/>
        </w:tabs>
        <w:ind w:left="720"/>
      </w:pPr>
      <w:r w:rsidRPr="009C0A19">
        <w:t># of UC respondents: 2</w:t>
      </w:r>
    </w:p>
    <w:p w14:paraId="369365F5" w14:textId="6DD8A3F2" w:rsidR="00665134" w:rsidRPr="009C0A19" w:rsidRDefault="00665134" w:rsidP="009C0A19">
      <w:pPr>
        <w:pStyle w:val="ListBullet"/>
        <w:tabs>
          <w:tab w:val="clear" w:pos="360"/>
          <w:tab w:val="num" w:pos="720"/>
        </w:tabs>
        <w:ind w:left="720"/>
      </w:pPr>
      <w:r w:rsidRPr="009C0A19">
        <w:t>Total responses:  61</w:t>
      </w:r>
    </w:p>
    <w:p w14:paraId="5DD6ED45" w14:textId="77777777" w:rsidR="00665134" w:rsidRPr="00F916F0" w:rsidRDefault="00665134" w:rsidP="00665134">
      <w:pPr>
        <w:spacing w:after="240"/>
        <w:rPr>
          <w:rFonts w:cs="Arial"/>
          <w:szCs w:val="22"/>
        </w:rPr>
      </w:pPr>
      <w:r w:rsidRPr="00F916F0">
        <w:rPr>
          <w:rFonts w:cs="Arial"/>
          <w:szCs w:val="22"/>
        </w:rPr>
        <w:t xml:space="preserve">Provide a written summary of the feedback from the survey to the question below: </w:t>
      </w:r>
    </w:p>
    <w:p w14:paraId="19594D94" w14:textId="4B7D45D5" w:rsidR="00665134" w:rsidRPr="009C0A19" w:rsidRDefault="00665134" w:rsidP="009C0A19">
      <w:pPr>
        <w:pStyle w:val="Numberlist-level1"/>
      </w:pPr>
      <w:r w:rsidRPr="009C0A19">
        <w:t xml:space="preserve">Were there any changes suggested to the CORE of the TMC? </w:t>
      </w:r>
    </w:p>
    <w:p w14:paraId="1201F49F" w14:textId="77777777" w:rsidR="00665134" w:rsidRPr="00F916F0" w:rsidRDefault="00665134" w:rsidP="00F916F0">
      <w:pPr>
        <w:spacing w:after="240"/>
        <w:rPr>
          <w:rFonts w:cs="Arial"/>
          <w:szCs w:val="22"/>
        </w:rPr>
      </w:pPr>
      <w:r w:rsidRPr="00F916F0">
        <w:rPr>
          <w:rFonts w:cs="Arial"/>
          <w:szCs w:val="22"/>
        </w:rPr>
        <w:t>Although 55% of respondents (22 out of 40) agreed with the structure of the CORE and 80% (28 out of 35) agreed that “the proposed aligned TMC provide the curricular framework for an ADT that prepares students for transfer to both CSU and UC,” there were concerns with the unit limitation since most CCC physics courses are 5 units rather than 4. For example, when asked, “If the proposed aligned TMC does not support the development of a Physics ADT within 60 semester units at your college, please indicate if the availability of any of the following would make creating an ADT possible at your college,” 80% responded that they required an exception to the 60-unit maximum to allow for a 66-unit maximum for the Physics ADT.  If fact a few responded that in addition to the allowance of a 66-unit maximum, the deferral of one or two Cal-GETC courses upon transfer was necessary for their institution.</w:t>
      </w:r>
    </w:p>
    <w:p w14:paraId="701220AC" w14:textId="77777777" w:rsidR="00665134" w:rsidRPr="00F916F0" w:rsidRDefault="00665134" w:rsidP="00F916F0">
      <w:pPr>
        <w:spacing w:after="240"/>
        <w:rPr>
          <w:rFonts w:cs="Arial"/>
          <w:szCs w:val="22"/>
        </w:rPr>
      </w:pPr>
      <w:r w:rsidRPr="00F916F0">
        <w:rPr>
          <w:rFonts w:cs="Arial"/>
          <w:b/>
          <w:bCs/>
          <w:szCs w:val="22"/>
        </w:rPr>
        <w:t>FDRG recommends:</w:t>
      </w:r>
      <w:r w:rsidRPr="00F916F0">
        <w:rPr>
          <w:rFonts w:cs="Arial"/>
          <w:szCs w:val="22"/>
        </w:rPr>
        <w:t xml:space="preserve"> to approve the CORE with the listed additions of Differential Equations and Linear Algebra (MATH 240 and MATH 250 or MATH 910-S). Additionally, the FDRG recommends an exception to the 60-unit maximum to permit a 66-unit maximum for the Physics ADT.</w:t>
      </w:r>
    </w:p>
    <w:p w14:paraId="027C4712" w14:textId="0515F5B5" w:rsidR="00665134" w:rsidRPr="00F916F0" w:rsidRDefault="00665134" w:rsidP="009C0A19">
      <w:pPr>
        <w:pStyle w:val="Numberlist-level1"/>
      </w:pPr>
      <w:r w:rsidRPr="00F916F0">
        <w:t xml:space="preserve">Were there any changes suggested to the List A of the TMC? </w:t>
      </w:r>
    </w:p>
    <w:p w14:paraId="66916F13" w14:textId="77777777" w:rsidR="00665134" w:rsidRPr="00F916F0" w:rsidRDefault="00665134" w:rsidP="00F916F0">
      <w:pPr>
        <w:spacing w:after="240"/>
        <w:rPr>
          <w:rFonts w:cs="Arial"/>
          <w:szCs w:val="22"/>
        </w:rPr>
      </w:pPr>
      <w:r w:rsidRPr="00F916F0">
        <w:rPr>
          <w:rFonts w:cs="Arial"/>
          <w:szCs w:val="22"/>
        </w:rPr>
        <w:t>Many respondents commented that a programming component is necessary for the Physics major. The only issue that a few CCCs require prerequisites for the listed programming courses.</w:t>
      </w:r>
    </w:p>
    <w:p w14:paraId="7CD39709" w14:textId="77777777" w:rsidR="00665134" w:rsidRPr="00F916F0" w:rsidRDefault="00665134" w:rsidP="00F916F0">
      <w:pPr>
        <w:spacing w:after="240"/>
        <w:rPr>
          <w:rFonts w:cs="Arial"/>
          <w:szCs w:val="22"/>
        </w:rPr>
      </w:pPr>
      <w:r w:rsidRPr="00F916F0">
        <w:rPr>
          <w:rFonts w:cs="Arial"/>
          <w:b/>
          <w:bCs/>
          <w:szCs w:val="22"/>
        </w:rPr>
        <w:t>FDRG recommends:</w:t>
      </w:r>
      <w:r w:rsidRPr="00F916F0">
        <w:rPr>
          <w:rFonts w:cs="Arial"/>
          <w:szCs w:val="22"/>
        </w:rPr>
        <w:t xml:space="preserve"> to approve List A with listed addition of a programming course (COMP 112, COMP 122, or AAM).</w:t>
      </w:r>
    </w:p>
    <w:p w14:paraId="0F256DC1" w14:textId="093D444D" w:rsidR="00665134" w:rsidRPr="00F916F0" w:rsidRDefault="00665134" w:rsidP="009C0A19">
      <w:pPr>
        <w:pStyle w:val="Numberlist-level1"/>
      </w:pPr>
      <w:r w:rsidRPr="00F916F0">
        <w:t>4Were there any changes suggested to the List B section of the TMC? N/A</w:t>
      </w:r>
    </w:p>
    <w:p w14:paraId="00F9BC0C" w14:textId="77777777" w:rsidR="00665134" w:rsidRPr="00F916F0" w:rsidRDefault="00665134" w:rsidP="00F916F0">
      <w:pPr>
        <w:spacing w:after="240"/>
        <w:rPr>
          <w:rFonts w:cs="Arial"/>
          <w:szCs w:val="22"/>
        </w:rPr>
      </w:pPr>
      <w:r w:rsidRPr="00F916F0">
        <w:rPr>
          <w:rFonts w:cs="Arial"/>
          <w:szCs w:val="22"/>
        </w:rPr>
        <w:t>There is no list B.</w:t>
      </w:r>
    </w:p>
    <w:p w14:paraId="7DEC6542" w14:textId="5BCAD606" w:rsidR="00665134" w:rsidRPr="00F916F0" w:rsidRDefault="00665134" w:rsidP="00F916F0">
      <w:pPr>
        <w:spacing w:after="240"/>
        <w:rPr>
          <w:rFonts w:cs="Arial"/>
          <w:szCs w:val="22"/>
        </w:rPr>
      </w:pPr>
      <w:r w:rsidRPr="00F916F0">
        <w:rPr>
          <w:rFonts w:cs="Arial"/>
          <w:b/>
          <w:bCs/>
          <w:szCs w:val="22"/>
        </w:rPr>
        <w:t>FDRG recommends:</w:t>
      </w:r>
      <w:r w:rsidRPr="00F916F0">
        <w:rPr>
          <w:rFonts w:cs="Arial"/>
          <w:szCs w:val="22"/>
        </w:rPr>
        <w:t xml:space="preserve"> N/A</w:t>
      </w:r>
    </w:p>
    <w:p w14:paraId="1667BE95" w14:textId="4EAF7C1D" w:rsidR="00665134" w:rsidRPr="00F916F0" w:rsidRDefault="00665134" w:rsidP="009C0A19">
      <w:pPr>
        <w:pStyle w:val="Numberlist-level1"/>
      </w:pPr>
      <w:r w:rsidRPr="000F614B">
        <w:t>If appropriate, were there any changes suggested to the List C section of the</w:t>
      </w:r>
      <w:r w:rsidRPr="00F916F0">
        <w:t xml:space="preserve"> TMC? N/A</w:t>
      </w:r>
    </w:p>
    <w:p w14:paraId="1D25A804" w14:textId="77777777" w:rsidR="00665134" w:rsidRPr="00F916F0" w:rsidRDefault="00665134" w:rsidP="00F916F0">
      <w:pPr>
        <w:spacing w:after="240"/>
        <w:rPr>
          <w:rFonts w:cs="Arial"/>
          <w:szCs w:val="22"/>
        </w:rPr>
      </w:pPr>
      <w:r w:rsidRPr="00F916F0">
        <w:rPr>
          <w:rFonts w:cs="Arial"/>
          <w:szCs w:val="22"/>
        </w:rPr>
        <w:lastRenderedPageBreak/>
        <w:t>There is no list C.</w:t>
      </w:r>
    </w:p>
    <w:p w14:paraId="6F78C50B" w14:textId="77777777" w:rsidR="00665134" w:rsidRPr="00F916F0" w:rsidRDefault="00665134" w:rsidP="00F916F0">
      <w:pPr>
        <w:spacing w:after="240"/>
        <w:rPr>
          <w:rFonts w:cs="Arial"/>
          <w:szCs w:val="22"/>
        </w:rPr>
      </w:pPr>
      <w:r w:rsidRPr="00F916F0">
        <w:rPr>
          <w:rFonts w:cs="Arial"/>
          <w:b/>
          <w:bCs/>
          <w:szCs w:val="22"/>
        </w:rPr>
        <w:t>FDRG recommends:</w:t>
      </w:r>
      <w:r w:rsidRPr="00F916F0">
        <w:rPr>
          <w:rFonts w:cs="Arial"/>
          <w:szCs w:val="22"/>
        </w:rPr>
        <w:t xml:space="preserve"> N/A</w:t>
      </w:r>
    </w:p>
    <w:p w14:paraId="46B5EC9E" w14:textId="03833668" w:rsidR="00665134" w:rsidRPr="009C0A19" w:rsidRDefault="00665134" w:rsidP="009C0A19">
      <w:pPr>
        <w:pStyle w:val="Numberlist-level1"/>
      </w:pPr>
      <w:r w:rsidRPr="009C0A19">
        <w:t>6. Please provide any general recommendations from the feedback received from the vetting.</w:t>
      </w:r>
    </w:p>
    <w:p w14:paraId="4D34D8C9" w14:textId="77777777" w:rsidR="00665134" w:rsidRPr="00F916F0" w:rsidRDefault="00665134" w:rsidP="00F916F0">
      <w:pPr>
        <w:spacing w:after="240"/>
        <w:rPr>
          <w:rFonts w:cs="Arial"/>
          <w:szCs w:val="22"/>
        </w:rPr>
      </w:pPr>
      <w:r w:rsidRPr="00F916F0">
        <w:rPr>
          <w:rFonts w:cs="Arial"/>
          <w:szCs w:val="22"/>
        </w:rPr>
        <w:t>Many respondents agreed that the structure and course content of the proposed TMC will better prepare students for the rigors of physics baccalaureate degree at transfer institution. Furthermore, many agrees that this TMC will allow students to complete their baccalaureate degree within an additional 60 units at a transfer institution. However, there was great concern with the proposed TMC due to the variation in courses units in math and physics at CCCs. Many CCC respondents commented that the TMC could only be offered with an exception to the 60 unit maximum. Therefore, the FDRG is requesting approval for an exception to the 60-unit limit. This would allow most community colleges to offer the proposed aligned TMC.</w:t>
      </w:r>
    </w:p>
    <w:p w14:paraId="2680C339" w14:textId="77777777" w:rsidR="00665134" w:rsidRPr="00F916F0" w:rsidRDefault="00665134" w:rsidP="00F916F0">
      <w:pPr>
        <w:spacing w:after="240"/>
        <w:rPr>
          <w:rFonts w:cs="Arial"/>
          <w:szCs w:val="22"/>
        </w:rPr>
      </w:pPr>
      <w:r w:rsidRPr="00F916F0">
        <w:rPr>
          <w:rFonts w:cs="Arial"/>
          <w:b/>
          <w:bCs/>
          <w:szCs w:val="22"/>
        </w:rPr>
        <w:t>FDRG recommends:</w:t>
      </w:r>
      <w:r w:rsidRPr="00F916F0">
        <w:rPr>
          <w:rFonts w:cs="Arial"/>
          <w:szCs w:val="22"/>
        </w:rPr>
        <w:t xml:space="preserve"> Approve the revised TMC with an exception to the 60-unit maximum to permit a 66-unit maximum for the Physics ADT.</w:t>
      </w:r>
    </w:p>
    <w:p w14:paraId="636562D8" w14:textId="2C6EAA04" w:rsidR="00665134" w:rsidRPr="00F916F0" w:rsidRDefault="00665134" w:rsidP="00F916F0">
      <w:pPr>
        <w:spacing w:after="240"/>
        <w:rPr>
          <w:rFonts w:cs="Arial"/>
          <w:b/>
          <w:bCs/>
          <w:szCs w:val="22"/>
        </w:rPr>
      </w:pPr>
      <w:r w:rsidRPr="00F916F0">
        <w:rPr>
          <w:rFonts w:cs="Arial"/>
          <w:b/>
          <w:bCs/>
          <w:szCs w:val="22"/>
        </w:rPr>
        <w:t>Provide a written summary of the FDRG’s recommendations and attach a copy of the revised TMC, including the date of completion of the review.</w:t>
      </w:r>
    </w:p>
    <w:p w14:paraId="5C3FE9B9" w14:textId="367E87B2" w:rsidR="00665134" w:rsidRPr="00F916F0" w:rsidRDefault="00665134" w:rsidP="00F916F0">
      <w:pPr>
        <w:spacing w:after="240"/>
        <w:rPr>
          <w:rFonts w:cs="Arial"/>
          <w:szCs w:val="22"/>
        </w:rPr>
      </w:pPr>
      <w:r w:rsidRPr="00F916F0">
        <w:rPr>
          <w:rFonts w:cs="Arial"/>
          <w:szCs w:val="22"/>
        </w:rPr>
        <w:t>The Physics FDRG recommends approving the TMC with the listed additions of Differential Equations and Linear Algebra (MATH 240 and MATH 250 or MATH 910-S) and a programming class (COMP 112, COMP 122, or AAM) along with exception to the 60-unit maximum to permit a 66-unit maximum for the Physics ADT. Without the exception most CCC will not be able to offer the proposed aligned TMC.</w:t>
      </w:r>
    </w:p>
    <w:sectPr w:rsidR="00665134" w:rsidRPr="00F916F0" w:rsidSect="009C0A19">
      <w:headerReference w:type="default" r:id="rId9"/>
      <w:footerReference w:type="even" r:id="rId10"/>
      <w:footerReference w:type="default" r:id="rId11"/>
      <w:pgSz w:w="12240" w:h="15840"/>
      <w:pgMar w:top="1422"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088C2" w14:textId="77777777" w:rsidR="009F3DE5" w:rsidRDefault="009F3DE5">
      <w:r>
        <w:separator/>
      </w:r>
    </w:p>
  </w:endnote>
  <w:endnote w:type="continuationSeparator" w:id="0">
    <w:p w14:paraId="62391F07" w14:textId="77777777" w:rsidR="009F3DE5" w:rsidRDefault="009F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1FDA" w14:textId="77777777" w:rsidR="00E77CEF" w:rsidRDefault="00E77CEF" w:rsidP="00E77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79D41" w14:textId="77777777" w:rsidR="00E77CEF" w:rsidRDefault="00E77CEF" w:rsidP="00E77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115F" w14:textId="77777777" w:rsidR="00E77CEF" w:rsidRPr="00D90972" w:rsidRDefault="00E77CEF" w:rsidP="00E77CEF">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7D76E9">
      <w:rPr>
        <w:rStyle w:val="PageNumber"/>
        <w:noProof/>
      </w:rPr>
      <w:t>6</w:t>
    </w:r>
    <w:r w:rsidRPr="00D90972">
      <w:rPr>
        <w:rStyle w:val="PageNumber"/>
      </w:rPr>
      <w:fldChar w:fldCharType="end"/>
    </w:r>
  </w:p>
  <w:p w14:paraId="338F47FF" w14:textId="77777777" w:rsidR="00E77CEF" w:rsidRDefault="00E77CEF" w:rsidP="00E77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3F769" w14:textId="77777777" w:rsidR="009F3DE5" w:rsidRDefault="009F3DE5">
      <w:r>
        <w:separator/>
      </w:r>
    </w:p>
  </w:footnote>
  <w:footnote w:type="continuationSeparator" w:id="0">
    <w:p w14:paraId="36D428C9" w14:textId="77777777" w:rsidR="009F3DE5" w:rsidRDefault="009F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1F18" w14:textId="77777777" w:rsidR="00E77CEF" w:rsidRDefault="00E77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74E5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19A9"/>
    <w:multiLevelType w:val="hybridMultilevel"/>
    <w:tmpl w:val="2888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559EE"/>
    <w:multiLevelType w:val="hybridMultilevel"/>
    <w:tmpl w:val="31BEAAE8"/>
    <w:lvl w:ilvl="0" w:tplc="028AD468">
      <w:start w:val="21"/>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31B65D1E"/>
    <w:multiLevelType w:val="hybridMultilevel"/>
    <w:tmpl w:val="16F049D8"/>
    <w:lvl w:ilvl="0" w:tplc="4F5E1EB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A7A59"/>
    <w:multiLevelType w:val="hybridMultilevel"/>
    <w:tmpl w:val="FDAC5FC0"/>
    <w:lvl w:ilvl="0" w:tplc="028AD468">
      <w:start w:val="21"/>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29850949">
    <w:abstractNumId w:val="1"/>
  </w:num>
  <w:num w:numId="2" w16cid:durableId="1842574769">
    <w:abstractNumId w:val="8"/>
  </w:num>
  <w:num w:numId="3" w16cid:durableId="1376389678">
    <w:abstractNumId w:val="7"/>
  </w:num>
  <w:num w:numId="4" w16cid:durableId="1033188910">
    <w:abstractNumId w:val="4"/>
  </w:num>
  <w:num w:numId="5" w16cid:durableId="1256329699">
    <w:abstractNumId w:val="5"/>
  </w:num>
  <w:num w:numId="6" w16cid:durableId="1291935743">
    <w:abstractNumId w:val="2"/>
  </w:num>
  <w:num w:numId="7" w16cid:durableId="1716738086">
    <w:abstractNumId w:val="3"/>
  </w:num>
  <w:num w:numId="8" w16cid:durableId="1095325306">
    <w:abstractNumId w:val="6"/>
  </w:num>
  <w:num w:numId="9" w16cid:durableId="48609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47710"/>
    <w:rsid w:val="0008708D"/>
    <w:rsid w:val="000F614B"/>
    <w:rsid w:val="00102D03"/>
    <w:rsid w:val="00165C21"/>
    <w:rsid w:val="001669EA"/>
    <w:rsid w:val="00182185"/>
    <w:rsid w:val="001C538D"/>
    <w:rsid w:val="00295C6B"/>
    <w:rsid w:val="00373F8D"/>
    <w:rsid w:val="003E4506"/>
    <w:rsid w:val="003F2682"/>
    <w:rsid w:val="003F669D"/>
    <w:rsid w:val="00491816"/>
    <w:rsid w:val="00495603"/>
    <w:rsid w:val="00514D95"/>
    <w:rsid w:val="00605EBE"/>
    <w:rsid w:val="00646872"/>
    <w:rsid w:val="00665134"/>
    <w:rsid w:val="00700B6D"/>
    <w:rsid w:val="00713005"/>
    <w:rsid w:val="007A1CB1"/>
    <w:rsid w:val="007B5202"/>
    <w:rsid w:val="007D76E9"/>
    <w:rsid w:val="00863D2A"/>
    <w:rsid w:val="00874C5F"/>
    <w:rsid w:val="00894B3B"/>
    <w:rsid w:val="009052A9"/>
    <w:rsid w:val="009808E6"/>
    <w:rsid w:val="009B76F1"/>
    <w:rsid w:val="009C0A19"/>
    <w:rsid w:val="009E0948"/>
    <w:rsid w:val="009F3202"/>
    <w:rsid w:val="009F3DE5"/>
    <w:rsid w:val="00A20947"/>
    <w:rsid w:val="00A225CB"/>
    <w:rsid w:val="00A41F65"/>
    <w:rsid w:val="00AF5871"/>
    <w:rsid w:val="00B217C4"/>
    <w:rsid w:val="00B21CDF"/>
    <w:rsid w:val="00B37C88"/>
    <w:rsid w:val="00BA6858"/>
    <w:rsid w:val="00CC299A"/>
    <w:rsid w:val="00D42270"/>
    <w:rsid w:val="00D928D0"/>
    <w:rsid w:val="00DD1633"/>
    <w:rsid w:val="00E62F56"/>
    <w:rsid w:val="00E77CEF"/>
    <w:rsid w:val="00E92CE0"/>
    <w:rsid w:val="00E93A2C"/>
    <w:rsid w:val="00F916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F97AA0C"/>
  <w15:chartTrackingRefBased/>
  <w15:docId w15:val="{D976DC8C-92E9-4BC5-BBA4-75067B6E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A19"/>
    <w:pPr>
      <w:spacing w:after="120"/>
    </w:pPr>
    <w:rPr>
      <w:rFonts w:ascii="Arial" w:hAnsi="Arial"/>
      <w:sz w:val="22"/>
      <w:szCs w:val="24"/>
      <w:lang w:eastAsia="en-US"/>
    </w:rPr>
  </w:style>
  <w:style w:type="paragraph" w:styleId="Heading1">
    <w:name w:val="heading 1"/>
    <w:basedOn w:val="Normal"/>
    <w:next w:val="Normal"/>
    <w:link w:val="Heading1Char"/>
    <w:qFormat/>
    <w:rsid w:val="009C0A19"/>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9C0A19"/>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9C0A19"/>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41F65"/>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D90972"/>
    <w:pPr>
      <w:tabs>
        <w:tab w:val="center" w:pos="4320"/>
        <w:tab w:val="right" w:pos="8640"/>
      </w:tabs>
    </w:pPr>
  </w:style>
  <w:style w:type="character" w:customStyle="1" w:styleId="HeaderChar">
    <w:name w:val="Header Char"/>
    <w:link w:val="Header"/>
    <w:uiPriority w:val="99"/>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customStyle="1" w:styleId="MediumGrid21">
    <w:name w:val="Medium Grid 21"/>
    <w:uiPriority w:val="1"/>
    <w:qFormat/>
    <w:rsid w:val="00C3771E"/>
    <w:rPr>
      <w:sz w:val="22"/>
      <w:szCs w:val="22"/>
      <w:lang w:eastAsia="en-US"/>
    </w:rPr>
  </w:style>
  <w:style w:type="character" w:customStyle="1" w:styleId="Heading1Char">
    <w:name w:val="Heading 1 Char"/>
    <w:link w:val="Heading1"/>
    <w:rsid w:val="009C0A19"/>
    <w:rPr>
      <w:rFonts w:ascii="Arial" w:eastAsia="Times New Roman" w:hAnsi="Arial" w:cs="Arial"/>
      <w:noProof/>
      <w:kern w:val="32"/>
      <w:sz w:val="32"/>
      <w:szCs w:val="32"/>
      <w:lang w:eastAsia="en-US"/>
    </w:rPr>
  </w:style>
  <w:style w:type="paragraph" w:styleId="NormalWeb">
    <w:name w:val="Normal (Web)"/>
    <w:basedOn w:val="Normal"/>
    <w:uiPriority w:val="99"/>
    <w:rsid w:val="00700B6D"/>
    <w:pPr>
      <w:spacing w:beforeLines="1" w:afterLines="1"/>
    </w:pPr>
    <w:rPr>
      <w:rFonts w:ascii="Times" w:hAnsi="Times"/>
      <w:sz w:val="20"/>
      <w:szCs w:val="20"/>
    </w:rPr>
  </w:style>
  <w:style w:type="paragraph" w:customStyle="1" w:styleId="Style1">
    <w:name w:val="Style1"/>
    <w:basedOn w:val="Heading2"/>
    <w:next w:val="Heading2"/>
    <w:link w:val="Style1Char"/>
    <w:qFormat/>
    <w:rsid w:val="000F614B"/>
    <w:rPr>
      <w:rFonts w:cs="Arial"/>
      <w:b w:val="0"/>
      <w:bCs w:val="0"/>
      <w:sz w:val="22"/>
      <w:szCs w:val="22"/>
    </w:rPr>
  </w:style>
  <w:style w:type="character" w:customStyle="1" w:styleId="Heading2Char">
    <w:name w:val="Heading 2 Char"/>
    <w:link w:val="Heading2"/>
    <w:rsid w:val="009C0A19"/>
    <w:rPr>
      <w:rFonts w:ascii="Arial" w:eastAsia="Times New Roman" w:hAnsi="Arial"/>
      <w:b/>
      <w:bCs/>
      <w:iCs/>
      <w:sz w:val="26"/>
      <w:szCs w:val="26"/>
      <w:lang w:eastAsia="en-US"/>
    </w:rPr>
  </w:style>
  <w:style w:type="character" w:customStyle="1" w:styleId="Style1Char">
    <w:name w:val="Style1 Char"/>
    <w:basedOn w:val="DefaultParagraphFont"/>
    <w:link w:val="Style1"/>
    <w:rsid w:val="000F614B"/>
    <w:rPr>
      <w:rFonts w:ascii="Arial" w:eastAsiaTheme="majorEastAsia" w:hAnsi="Arial" w:cs="Arial"/>
      <w:b/>
      <w:bCs/>
      <w:sz w:val="22"/>
      <w:szCs w:val="22"/>
      <w:lang w:eastAsia="en-US"/>
    </w:rPr>
  </w:style>
  <w:style w:type="character" w:customStyle="1" w:styleId="Heading3Char">
    <w:name w:val="Heading 3 Char"/>
    <w:basedOn w:val="DefaultParagraphFont"/>
    <w:link w:val="Heading3"/>
    <w:rsid w:val="009C0A19"/>
    <w:rPr>
      <w:rFonts w:ascii="Arial" w:eastAsiaTheme="majorEastAsia" w:hAnsi="Arial" w:cs="Arial"/>
      <w:b/>
      <w:bCs/>
      <w:color w:val="000000" w:themeColor="text1"/>
      <w:sz w:val="24"/>
      <w:szCs w:val="24"/>
      <w:lang w:eastAsia="en-US"/>
    </w:rPr>
  </w:style>
  <w:style w:type="character" w:styleId="Hyperlink">
    <w:name w:val="Hyperlink"/>
    <w:rsid w:val="009C0A19"/>
    <w:rPr>
      <w:color w:val="4472C4"/>
      <w:u w:val="single"/>
    </w:rPr>
  </w:style>
  <w:style w:type="paragraph" w:customStyle="1" w:styleId="Numberlist-level1">
    <w:name w:val="Number list - level 1"/>
    <w:basedOn w:val="Normal"/>
    <w:qFormat/>
    <w:rsid w:val="009C0A19"/>
    <w:pPr>
      <w:numPr>
        <w:numId w:val="5"/>
      </w:numPr>
      <w:spacing w:before="240"/>
      <w:ind w:left="360"/>
    </w:pPr>
  </w:style>
  <w:style w:type="paragraph" w:styleId="ListParagraph">
    <w:name w:val="List Paragraph"/>
    <w:basedOn w:val="Normal"/>
    <w:qFormat/>
    <w:rsid w:val="009C0A19"/>
    <w:pPr>
      <w:ind w:left="720"/>
      <w:contextualSpacing/>
    </w:pPr>
  </w:style>
  <w:style w:type="paragraph" w:styleId="ListBullet">
    <w:name w:val="List Bullet"/>
    <w:basedOn w:val="Normal"/>
    <w:rsid w:val="009C0A19"/>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473604">
      <w:bodyDiv w:val="1"/>
      <w:marLeft w:val="0"/>
      <w:marRight w:val="0"/>
      <w:marTop w:val="0"/>
      <w:marBottom w:val="0"/>
      <w:divBdr>
        <w:top w:val="none" w:sz="0" w:space="0" w:color="auto"/>
        <w:left w:val="none" w:sz="0" w:space="0" w:color="auto"/>
        <w:bottom w:val="none" w:sz="0" w:space="0" w:color="auto"/>
        <w:right w:val="none" w:sz="0" w:space="0" w:color="auto"/>
      </w:divBdr>
    </w:div>
    <w:div w:id="544879221">
      <w:bodyDiv w:val="1"/>
      <w:marLeft w:val="0"/>
      <w:marRight w:val="0"/>
      <w:marTop w:val="0"/>
      <w:marBottom w:val="0"/>
      <w:divBdr>
        <w:top w:val="none" w:sz="0" w:space="0" w:color="auto"/>
        <w:left w:val="none" w:sz="0" w:space="0" w:color="auto"/>
        <w:bottom w:val="none" w:sz="0" w:space="0" w:color="auto"/>
        <w:right w:val="none" w:sz="0" w:space="0" w:color="auto"/>
      </w:divBdr>
    </w:div>
    <w:div w:id="1442065596">
      <w:bodyDiv w:val="1"/>
      <w:marLeft w:val="0"/>
      <w:marRight w:val="0"/>
      <w:marTop w:val="0"/>
      <w:marBottom w:val="0"/>
      <w:divBdr>
        <w:top w:val="none" w:sz="0" w:space="0" w:color="auto"/>
        <w:left w:val="none" w:sz="0" w:space="0" w:color="auto"/>
        <w:bottom w:val="none" w:sz="0" w:space="0" w:color="auto"/>
        <w:right w:val="none" w:sz="0" w:space="0" w:color="auto"/>
      </w:divBdr>
    </w:div>
    <w:div w:id="15226706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3B9A-BAC1-4F8E-B7F8-CBE3CD0C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625</Words>
  <Characters>3045</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Transfer Model Curriculum 5-Year Review Summary - Physics</vt:lpstr>
    </vt:vector>
  </TitlesOfParts>
  <Manager/>
  <Company>Academic Senate for California Community Colleges</Company>
  <LinksUpToDate>false</LinksUpToDate>
  <CharactersWithSpaces>3656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Physics</dc:title>
  <dc:subject/>
  <dc:creator>Krystinne Mica</dc:creator>
  <cp:keywords/>
  <dc:description/>
  <cp:lastModifiedBy>Katie Nash</cp:lastModifiedBy>
  <cp:revision>9</cp:revision>
  <dcterms:created xsi:type="dcterms:W3CDTF">2025-02-26T17:38:00Z</dcterms:created>
  <dcterms:modified xsi:type="dcterms:W3CDTF">2025-04-08T18:25:00Z</dcterms:modified>
  <cp:category/>
</cp:coreProperties>
</file>