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9AD6" w14:textId="07C38ABC" w:rsidR="00C92CF3" w:rsidRPr="009516D0" w:rsidRDefault="00C92CF3" w:rsidP="00C92CF3">
      <w:pPr>
        <w:pStyle w:val="Heading1"/>
        <w:spacing w:after="500"/>
      </w:pPr>
      <w:r w:rsidRPr="007414BF">
        <w:rPr>
          <w:noProof/>
        </w:rPr>
        <w:drawing>
          <wp:anchor distT="0" distB="0" distL="114300" distR="114300" simplePos="0" relativeHeight="251659264" behindDoc="1" locked="0" layoutInCell="1" allowOverlap="1" wp14:anchorId="6323D3B0" wp14:editId="707CFFDE">
            <wp:simplePos x="0" y="0"/>
            <wp:positionH relativeFrom="margin">
              <wp:posOffset>2025650</wp:posOffset>
            </wp:positionH>
            <wp:positionV relativeFrom="margin">
              <wp:posOffset>-483523</wp:posOffset>
            </wp:positionV>
            <wp:extent cx="1426210" cy="673735"/>
            <wp:effectExtent l="0" t="0" r="0" b="0"/>
            <wp:wrapNone/>
            <wp:docPr id="303214437" name="Picture 303214437" descr="Course Identification Numbering System  (C-I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urse Identification Numbering System  (C-ID) log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6210" cy="673735"/>
                    </a:xfrm>
                    <a:prstGeom prst="rect">
                      <a:avLst/>
                    </a:prstGeom>
                  </pic:spPr>
                </pic:pic>
              </a:graphicData>
            </a:graphic>
            <wp14:sizeRelH relativeFrom="page">
              <wp14:pctWidth>0</wp14:pctWidth>
            </wp14:sizeRelH>
            <wp14:sizeRelV relativeFrom="page">
              <wp14:pctHeight>0</wp14:pctHeight>
            </wp14:sizeRelV>
          </wp:anchor>
        </w:drawing>
      </w:r>
      <w:r w:rsidRPr="007414BF">
        <w:t xml:space="preserve"> </w:t>
      </w:r>
      <w:r w:rsidRPr="0047222F">
        <w:t xml:space="preserve">Transfer Model </w:t>
      </w:r>
      <w:r w:rsidRPr="00381A8D">
        <w:t>Curriculum 5-Year Review</w:t>
      </w:r>
      <w:r w:rsidRPr="0047222F">
        <w:t xml:space="preserve"> </w:t>
      </w:r>
      <w:proofErr w:type="gramStart"/>
      <w:r w:rsidRPr="0047222F">
        <w:t>Summary</w:t>
      </w:r>
      <w:r>
        <w:t xml:space="preserve">  -</w:t>
      </w:r>
      <w:proofErr w:type="gramEnd"/>
      <w:r>
        <w:t xml:space="preserve"> </w:t>
      </w:r>
      <w:r>
        <w:br/>
      </w:r>
      <w:r w:rsidR="00F25A77">
        <w:t>Mathematics</w:t>
      </w:r>
    </w:p>
    <w:p w14:paraId="1F158BB3" w14:textId="77777777" w:rsidR="003A7051" w:rsidRPr="001D4C91" w:rsidRDefault="003A7051" w:rsidP="004B0F2B">
      <w:r w:rsidRPr="001D4C91">
        <w:t>Please attach a copy of the vetting results for the TMC to the document.</w:t>
      </w:r>
    </w:p>
    <w:p w14:paraId="189D0D39" w14:textId="40F1A57A" w:rsidR="003A7051" w:rsidRPr="001D4C91" w:rsidRDefault="003A7051" w:rsidP="003D08C5">
      <w:pPr>
        <w:pStyle w:val="Numberlist-level1"/>
      </w:pPr>
      <w:r w:rsidRPr="001D4C91">
        <w:t xml:space="preserve">Provide a breakdown of the respondents to the </w:t>
      </w:r>
      <w:r>
        <w:t>survey</w:t>
      </w:r>
      <w:r w:rsidRPr="001D4C91">
        <w:t>:</w:t>
      </w:r>
      <w:r w:rsidR="00316D83">
        <w:t xml:space="preserve"> </w:t>
      </w:r>
      <w:r w:rsidR="00316D83" w:rsidRPr="00316D83">
        <w:t>(two surveys reviewed in October &amp; revised December)</w:t>
      </w:r>
    </w:p>
    <w:p w14:paraId="4AFC2936" w14:textId="1C5B58B6" w:rsidR="00316D83" w:rsidRDefault="00316D83" w:rsidP="003A7051">
      <w:pPr>
        <w:numPr>
          <w:ilvl w:val="0"/>
          <w:numId w:val="4"/>
        </w:numPr>
      </w:pPr>
      <w:r w:rsidRPr="00316D83">
        <w:t># of CCC respondents: TMC – 130 &amp; 119</w:t>
      </w:r>
    </w:p>
    <w:p w14:paraId="0B79A27B" w14:textId="77670D77" w:rsidR="00316D83" w:rsidRDefault="00316D83" w:rsidP="003A7051">
      <w:pPr>
        <w:numPr>
          <w:ilvl w:val="0"/>
          <w:numId w:val="4"/>
        </w:numPr>
      </w:pPr>
      <w:r w:rsidRPr="00316D83">
        <w:t># of CSU respondents: TMC – 10 &amp; 37</w:t>
      </w:r>
    </w:p>
    <w:p w14:paraId="32E6C999" w14:textId="477C75C8" w:rsidR="00316D83" w:rsidRDefault="00316D83" w:rsidP="004B0F2B">
      <w:pPr>
        <w:numPr>
          <w:ilvl w:val="0"/>
          <w:numId w:val="4"/>
        </w:numPr>
      </w:pPr>
      <w:r w:rsidRPr="00316D83">
        <w:t># of UC respondents: TMC – 3 &amp; 0</w:t>
      </w:r>
    </w:p>
    <w:p w14:paraId="19135B06" w14:textId="0CCDC56A" w:rsidR="003A7051" w:rsidRDefault="00F33F66" w:rsidP="004B0F2B">
      <w:pPr>
        <w:numPr>
          <w:ilvl w:val="0"/>
          <w:numId w:val="4"/>
        </w:numPr>
      </w:pPr>
      <w:r w:rsidRPr="00F33F66">
        <w:t xml:space="preserve"># of </w:t>
      </w:r>
      <w:proofErr w:type="gramStart"/>
      <w:r w:rsidRPr="00F33F66">
        <w:t>Independent</w:t>
      </w:r>
      <w:proofErr w:type="gramEnd"/>
      <w:r w:rsidRPr="00F33F66">
        <w:t xml:space="preserve"> respondents:  TMC – 3 &amp; 0</w:t>
      </w:r>
    </w:p>
    <w:p w14:paraId="3481FF1B" w14:textId="0CBF54B3" w:rsidR="00316D83" w:rsidRPr="001D4C91" w:rsidRDefault="00316D83" w:rsidP="004B0F2B">
      <w:pPr>
        <w:numPr>
          <w:ilvl w:val="0"/>
          <w:numId w:val="4"/>
        </w:numPr>
      </w:pPr>
      <w:r w:rsidRPr="00316D83">
        <w:t>Total responses: TMC – 146 &amp; 156</w:t>
      </w:r>
    </w:p>
    <w:p w14:paraId="1697B4CC" w14:textId="77777777" w:rsidR="003A7051" w:rsidRPr="004B0F2B" w:rsidRDefault="003A7051" w:rsidP="004B0F2B">
      <w:pPr>
        <w:rPr>
          <w:b/>
          <w:bCs/>
        </w:rPr>
      </w:pPr>
      <w:r w:rsidRPr="004B0F2B">
        <w:rPr>
          <w:b/>
          <w:bCs/>
        </w:rPr>
        <w:t xml:space="preserve">Provide a written summary of the feedback from the survey to the question below: </w:t>
      </w:r>
    </w:p>
    <w:p w14:paraId="54FFB1C0" w14:textId="7E12DE96" w:rsidR="004A385B" w:rsidRPr="003D08C5" w:rsidRDefault="00316D83" w:rsidP="003D08C5">
      <w:pPr>
        <w:pStyle w:val="Numberlist-level1"/>
      </w:pPr>
      <w:r w:rsidRPr="00316D83">
        <w:t>Provide a response to the survey feedback on the TMC required core.  Describe any changes suggested to the CORE of the TMC.</w:t>
      </w:r>
      <w:r w:rsidR="004A385B" w:rsidRPr="003D08C5">
        <w:t xml:space="preserve"> </w:t>
      </w:r>
    </w:p>
    <w:p w14:paraId="4284CF61" w14:textId="6294578D" w:rsidR="0044592B" w:rsidRPr="004C5FF4" w:rsidRDefault="00316D83" w:rsidP="00316D83">
      <w:pPr>
        <w:ind w:left="360"/>
      </w:pPr>
      <w:r w:rsidRPr="00316D83">
        <w:t xml:space="preserve">In the October survey, there were concerns that that proposed TMC would exceed 60 units at their college </w:t>
      </w:r>
      <w:proofErr w:type="gramStart"/>
      <w:r w:rsidRPr="00316D83">
        <w:t>for</w:t>
      </w:r>
      <w:proofErr w:type="gramEnd"/>
      <w:r w:rsidRPr="00316D83">
        <w:t xml:space="preserve"> some of their Calculus courses are now 5-unis. For the October survey, a few comments noted that Differential Equations may not articulate to their CSU as a lower division course.  Others felt a proofs course or a computer programming course should be required.  For the revised December survey, </w:t>
      </w:r>
      <w:proofErr w:type="gramStart"/>
      <w:r w:rsidRPr="00316D83">
        <w:t>a large number of</w:t>
      </w:r>
      <w:proofErr w:type="gramEnd"/>
      <w:r w:rsidRPr="00316D83">
        <w:t xml:space="preserve"> responses from the San Diego and San Jose region felt that Discrete Math should be one of the options for it may be a prerequisite for some upper division math courses, hence not having it may require an extra semester at SCSU or SJSU. A few noted that not having Discrete on their ADT could decrease the math offerings for their department.  There were a few comments expressing concern about removing Statistics in both surveys.</w:t>
      </w:r>
    </w:p>
    <w:p w14:paraId="3D5848BB" w14:textId="18D57104" w:rsidR="00061C15" w:rsidRDefault="00316D83" w:rsidP="00316D83">
      <w:pPr>
        <w:pStyle w:val="Numberlist-level1"/>
      </w:pPr>
      <w:r w:rsidRPr="00316D83">
        <w:t>Provide a response to the survey feedback on List A of the TMC.  Describe any changes to the List A section of the TMC.</w:t>
      </w:r>
      <w:r w:rsidR="00061C15">
        <w:t xml:space="preserve"> </w:t>
      </w:r>
    </w:p>
    <w:p w14:paraId="189ED3BA" w14:textId="229DF551" w:rsidR="002C184F" w:rsidRPr="002C184F" w:rsidRDefault="00316D83" w:rsidP="00316D83">
      <w:pPr>
        <w:ind w:left="360"/>
      </w:pPr>
      <w:r w:rsidRPr="00316D83">
        <w:t xml:space="preserve">For the October Survey </w:t>
      </w:r>
      <w:proofErr w:type="gramStart"/>
      <w:r w:rsidRPr="00316D83">
        <w:t>the majority of</w:t>
      </w:r>
      <w:proofErr w:type="gramEnd"/>
      <w:r w:rsidRPr="00316D83">
        <w:t xml:space="preserve"> responses indicated they would be able to develop a Mathematics ADT based on the proposed aligned TMC, though it may </w:t>
      </w:r>
      <w:proofErr w:type="gramStart"/>
      <w:r w:rsidRPr="00316D83">
        <w:t>take them</w:t>
      </w:r>
      <w:proofErr w:type="gramEnd"/>
      <w:r w:rsidRPr="00316D83">
        <w:t xml:space="preserve"> over </w:t>
      </w:r>
      <w:proofErr w:type="gramStart"/>
      <w:r w:rsidRPr="00316D83">
        <w:t>60-units</w:t>
      </w:r>
      <w:proofErr w:type="gramEnd"/>
      <w:r w:rsidRPr="00316D83">
        <w:t xml:space="preserve">. Therefore, the FDRG decreased the required units from a minimum of 6 to 3.  Input from the majority of CSU FDRG and the UC math representatives noted that the majority of the CSU’s and </w:t>
      </w:r>
      <w:proofErr w:type="gramStart"/>
      <w:r w:rsidRPr="00316D83">
        <w:t>UC’s</w:t>
      </w:r>
      <w:proofErr w:type="gramEnd"/>
      <w:r w:rsidRPr="00316D83">
        <w:t xml:space="preserve"> did not require a lower division course in Discrete Math. They were concerned if it were left on the TMC and then added to an ADT, it would not transfer to the majority of the UC’s and </w:t>
      </w:r>
      <w:proofErr w:type="gramStart"/>
      <w:r w:rsidRPr="00316D83">
        <w:t>CSU’s</w:t>
      </w:r>
      <w:proofErr w:type="gramEnd"/>
      <w:r w:rsidRPr="00316D83">
        <w:t>.  Moreover, it was expressed that many UC and CSU faculty would prefer students to take the courses after transfer. For those transfer institutions that would like students to have taken Discrete Mathematics at their CC, their students should be advised to take it as an elective. The decrease in required units may also allow students to take Introduction to Statistics as an elective.</w:t>
      </w:r>
      <w:r w:rsidR="002C184F" w:rsidRPr="002C184F">
        <w:t xml:space="preserve"> </w:t>
      </w:r>
    </w:p>
    <w:p w14:paraId="1BE21A69" w14:textId="77777777" w:rsidR="00A52C0F" w:rsidRDefault="00A52C0F" w:rsidP="00A52C0F">
      <w:pPr>
        <w:pStyle w:val="Numberlist-level1"/>
      </w:pPr>
      <w:r>
        <w:lastRenderedPageBreak/>
        <w:t xml:space="preserve">If applicable, provide a response to the survey feedback on List B of </w:t>
      </w:r>
      <w:proofErr w:type="gramStart"/>
      <w:r>
        <w:t>the TMC</w:t>
      </w:r>
      <w:proofErr w:type="gramEnd"/>
      <w:r>
        <w:t>.  Describe any changes to the List B section of the TMC.</w:t>
      </w:r>
    </w:p>
    <w:p w14:paraId="31C8F541" w14:textId="52623041" w:rsidR="00A52C0F" w:rsidRDefault="00A52C0F" w:rsidP="00A52C0F">
      <w:pPr>
        <w:pStyle w:val="Numberlist-level1"/>
        <w:numPr>
          <w:ilvl w:val="0"/>
          <w:numId w:val="0"/>
        </w:numPr>
        <w:ind w:left="360"/>
      </w:pPr>
      <w:r>
        <w:t>N/A</w:t>
      </w:r>
    </w:p>
    <w:p w14:paraId="5B55BE4B" w14:textId="77777777" w:rsidR="00A52C0F" w:rsidRDefault="00A52C0F" w:rsidP="00A52C0F">
      <w:pPr>
        <w:pStyle w:val="Numberlist-level1"/>
      </w:pPr>
      <w:r w:rsidRPr="001D4C91">
        <w:t xml:space="preserve">If </w:t>
      </w:r>
      <w:r w:rsidRPr="00A52C0F">
        <w:t>applicable, provide a response to the survey feedback on List C of the TMC.  Describe any changes to the List C section of the TMC.</w:t>
      </w:r>
    </w:p>
    <w:p w14:paraId="05759E73" w14:textId="78DAC485" w:rsidR="00A52C0F" w:rsidRDefault="00A52C0F" w:rsidP="00A52C0F">
      <w:pPr>
        <w:pStyle w:val="Numberlist-level1"/>
        <w:numPr>
          <w:ilvl w:val="0"/>
          <w:numId w:val="0"/>
        </w:numPr>
        <w:ind w:left="360"/>
      </w:pPr>
      <w:r>
        <w:t>N/A</w:t>
      </w:r>
    </w:p>
    <w:p w14:paraId="32E1155B" w14:textId="4B6DD3DE" w:rsidR="003A7051" w:rsidRDefault="00F33F66" w:rsidP="00A52C0F">
      <w:pPr>
        <w:pStyle w:val="Numberlist-level1"/>
      </w:pPr>
      <w:r w:rsidRPr="00F33F66">
        <w:t>Please provide any other comments from the feedback received from the vetting. If applicable, are there notes or other guidance (e.g</w:t>
      </w:r>
      <w:proofErr w:type="gramStart"/>
      <w:r w:rsidRPr="00F33F66">
        <w:t>. example</w:t>
      </w:r>
      <w:proofErr w:type="gramEnd"/>
      <w:r w:rsidRPr="00F33F66">
        <w:t xml:space="preserve"> course descriptions) that will be added to the updated TMC?</w:t>
      </w:r>
    </w:p>
    <w:p w14:paraId="7FFD1D4C" w14:textId="6DAED17F" w:rsidR="003A7051" w:rsidRDefault="00BB0A8F" w:rsidP="00C92CF3">
      <w:pPr>
        <w:ind w:left="360"/>
      </w:pPr>
      <w:r>
        <w:t>N</w:t>
      </w:r>
      <w:r w:rsidR="00F33F66">
        <w:t>/A</w:t>
      </w:r>
    </w:p>
    <w:p w14:paraId="3E2C81E9" w14:textId="637ECBE1" w:rsidR="00F33F66" w:rsidRDefault="00F33F66" w:rsidP="00F33F66">
      <w:pPr>
        <w:pStyle w:val="Numberlist-level1"/>
      </w:pPr>
      <w:r>
        <w:t xml:space="preserve">What are the survey recommendations on how </w:t>
      </w:r>
      <w:proofErr w:type="gramStart"/>
      <w:r>
        <w:t>culturally-relevant</w:t>
      </w:r>
      <w:proofErr w:type="gramEnd"/>
      <w:r>
        <w:t xml:space="preserve"> and anti-racist course content, textbooks, and assessments can be included into the C-ID descriptors and/or TMC? Did the FDRG agree with the recommendations? If not, please explain.</w:t>
      </w:r>
    </w:p>
    <w:p w14:paraId="7FE4EB04" w14:textId="61903006" w:rsidR="00F33F66" w:rsidRDefault="00F33F66" w:rsidP="00F33F66">
      <w:pPr>
        <w:pStyle w:val="Numberlist-level1"/>
        <w:numPr>
          <w:ilvl w:val="0"/>
          <w:numId w:val="0"/>
        </w:numPr>
        <w:ind w:left="360"/>
      </w:pPr>
      <w:r>
        <w:t>N/A for only the TMC was reviewed and updated</w:t>
      </w:r>
    </w:p>
    <w:p w14:paraId="31FD19C0" w14:textId="612E97E1" w:rsidR="00F33F66" w:rsidRDefault="00F33F66" w:rsidP="00F33F66">
      <w:pPr>
        <w:pStyle w:val="Numberlist-level1"/>
        <w:numPr>
          <w:ilvl w:val="0"/>
          <w:numId w:val="0"/>
        </w:numPr>
        <w:ind w:left="360"/>
      </w:pPr>
      <w:r>
        <w:t>Where in the course descriptors and/or the TMC is evidence of culturally relevant curricular design?  If there is no evidence, explain how the FDRG discussed the relevance and inclusion of cultural relevancy.</w:t>
      </w:r>
    </w:p>
    <w:p w14:paraId="4A818528" w14:textId="55D1B869" w:rsidR="00F33F66" w:rsidRDefault="00F33F66" w:rsidP="00F33F66">
      <w:pPr>
        <w:pStyle w:val="Numberlist-level1"/>
        <w:numPr>
          <w:ilvl w:val="0"/>
          <w:numId w:val="0"/>
        </w:numPr>
        <w:ind w:left="360"/>
      </w:pPr>
      <w:r>
        <w:t>N/A for only the TMC was reviewed and updated</w:t>
      </w:r>
    </w:p>
    <w:p w14:paraId="7B9FE69B" w14:textId="50E2EC1F" w:rsidR="00F33F66" w:rsidRDefault="00F33F66" w:rsidP="00F33F66">
      <w:pPr>
        <w:pStyle w:val="Numberlist-level1"/>
      </w:pPr>
      <w:r>
        <w:t xml:space="preserve">What </w:t>
      </w:r>
      <w:proofErr w:type="gramStart"/>
      <w:r>
        <w:t>Open Educational Resources (OER) were</w:t>
      </w:r>
      <w:proofErr w:type="gramEnd"/>
      <w:r>
        <w:t xml:space="preserve"> considered for the descriptors? Were any deemed to be appropriate for use with the C-ID descriptors? If not, please provide recommendations for development of appropriate OER in your discipline.</w:t>
      </w:r>
    </w:p>
    <w:p w14:paraId="4DB94792" w14:textId="1DD7D26E" w:rsidR="00C92CF3" w:rsidRPr="00F33F66" w:rsidRDefault="00F33F66" w:rsidP="00F33F66">
      <w:pPr>
        <w:pStyle w:val="Numberlist-level1"/>
        <w:numPr>
          <w:ilvl w:val="0"/>
          <w:numId w:val="0"/>
        </w:numPr>
        <w:ind w:left="360"/>
      </w:pPr>
      <w:r>
        <w:t>N/A for only the TMC was reviewed and updated</w:t>
      </w:r>
      <w:r w:rsidR="00C92CF3">
        <w:rPr>
          <w:b/>
          <w:bCs/>
        </w:rPr>
        <w:br w:type="page"/>
      </w:r>
    </w:p>
    <w:p w14:paraId="57FB8B6C" w14:textId="77777777" w:rsidR="003A7051" w:rsidRPr="004B0F2B" w:rsidRDefault="003A7051" w:rsidP="004B0F2B">
      <w:pPr>
        <w:pStyle w:val="Heading2"/>
      </w:pPr>
      <w:r w:rsidRPr="004B0F2B">
        <w:lastRenderedPageBreak/>
        <w:t>Descriptor 5-Year Review Summary</w:t>
      </w:r>
    </w:p>
    <w:p w14:paraId="682090D6" w14:textId="21709ACF" w:rsidR="004B0F2B" w:rsidRPr="00C92CF3" w:rsidRDefault="00C92CF3" w:rsidP="00C92CF3">
      <w:pPr>
        <w:spacing w:after="240"/>
        <w:rPr>
          <w:i/>
        </w:rPr>
      </w:pPr>
      <w:r w:rsidRPr="00107C9C">
        <w:rPr>
          <w:i/>
        </w:rPr>
        <w:t xml:space="preserve">Please provide a written summary of the FDRG’s recommendations for each of the descriptors in the table below.  If there are no changes to the descriptors, you can note this by stating “After a complete review of the descriptor, the FDRG does not propose any changes to the descriptor at this time.”  </w:t>
      </w:r>
    </w:p>
    <w:tbl>
      <w:tblPr>
        <w:tblW w:w="990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0"/>
        <w:gridCol w:w="7380"/>
      </w:tblGrid>
      <w:tr w:rsidR="003A7051" w:rsidRPr="00E1335E" w14:paraId="56A863B2" w14:textId="77777777">
        <w:trPr>
          <w:tblHeader/>
        </w:trPr>
        <w:tc>
          <w:tcPr>
            <w:tcW w:w="2520" w:type="dxa"/>
            <w:shd w:val="clear" w:color="auto" w:fill="D9D9D9"/>
          </w:tcPr>
          <w:p w14:paraId="44616371" w14:textId="77777777" w:rsidR="003A7051" w:rsidRPr="00E1335E" w:rsidRDefault="003A7051" w:rsidP="003A7051">
            <w:r w:rsidRPr="00E1335E">
              <w:t xml:space="preserve">C-ID Descriptor and Name </w:t>
            </w:r>
          </w:p>
        </w:tc>
        <w:tc>
          <w:tcPr>
            <w:tcW w:w="7380" w:type="dxa"/>
            <w:shd w:val="clear" w:color="auto" w:fill="D9D9D9"/>
          </w:tcPr>
          <w:p w14:paraId="6730CFFF" w14:textId="77777777" w:rsidR="003A7051" w:rsidRPr="00E1335E" w:rsidRDefault="003A7051" w:rsidP="003A7051">
            <w:r w:rsidRPr="00E1335E">
              <w:t>Summary of the FDRG 5-Year Review</w:t>
            </w:r>
          </w:p>
        </w:tc>
      </w:tr>
      <w:tr w:rsidR="003A7051" w:rsidRPr="00E1335E" w14:paraId="5C518193" w14:textId="77777777">
        <w:tc>
          <w:tcPr>
            <w:tcW w:w="2520" w:type="dxa"/>
          </w:tcPr>
          <w:p w14:paraId="0E0E76A7" w14:textId="3A2340E3" w:rsidR="003A7051" w:rsidRPr="00D77A86" w:rsidRDefault="00316D83" w:rsidP="005A5163">
            <w:r>
              <w:t>N/A</w:t>
            </w:r>
          </w:p>
        </w:tc>
        <w:tc>
          <w:tcPr>
            <w:tcW w:w="7380" w:type="dxa"/>
          </w:tcPr>
          <w:p w14:paraId="1B6066B9" w14:textId="757D2100" w:rsidR="003A7051" w:rsidRPr="00E1335E" w:rsidRDefault="003A7051" w:rsidP="003A7051">
            <w:r w:rsidRPr="00E1335E">
              <w:t xml:space="preserve"> </w:t>
            </w:r>
          </w:p>
        </w:tc>
      </w:tr>
    </w:tbl>
    <w:p w14:paraId="7531FDDE" w14:textId="77777777" w:rsidR="003A7051" w:rsidRPr="001D4C91" w:rsidRDefault="003A7051" w:rsidP="003A7051"/>
    <w:sectPr w:rsidR="003A7051" w:rsidRPr="001D4C91" w:rsidSect="003A7051">
      <w:footerReference w:type="even" r:id="rId9"/>
      <w:footerReference w:type="default" r:id="rId10"/>
      <w:pgSz w:w="12240" w:h="15840"/>
      <w:pgMar w:top="180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1B3DB" w14:textId="77777777" w:rsidR="00B16212" w:rsidRDefault="00B16212">
      <w:r>
        <w:separator/>
      </w:r>
    </w:p>
  </w:endnote>
  <w:endnote w:type="continuationSeparator" w:id="0">
    <w:p w14:paraId="4D319937" w14:textId="77777777" w:rsidR="00B16212" w:rsidRDefault="00B1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A709" w14:textId="77777777" w:rsidR="003A7051" w:rsidRDefault="003A7051" w:rsidP="003A70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03CB73" w14:textId="77777777" w:rsidR="003A7051" w:rsidRDefault="003A7051" w:rsidP="003A70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9E28" w14:textId="77777777" w:rsidR="003A7051" w:rsidRPr="00D90972" w:rsidRDefault="003A7051" w:rsidP="003A7051">
    <w:pPr>
      <w:pStyle w:val="Footer"/>
      <w:framePr w:wrap="around" w:vAnchor="text" w:hAnchor="margin" w:xAlign="right" w:y="1"/>
      <w:rPr>
        <w:rStyle w:val="PageNumber"/>
      </w:rPr>
    </w:pPr>
    <w:r w:rsidRPr="00D90972">
      <w:rPr>
        <w:rStyle w:val="PageNumber"/>
      </w:rPr>
      <w:fldChar w:fldCharType="begin"/>
    </w:r>
    <w:r w:rsidRPr="00D90972">
      <w:rPr>
        <w:rStyle w:val="PageNumber"/>
      </w:rPr>
      <w:instrText xml:space="preserve">PAGE  </w:instrText>
    </w:r>
    <w:r w:rsidRPr="00D90972">
      <w:rPr>
        <w:rStyle w:val="PageNumber"/>
      </w:rPr>
      <w:fldChar w:fldCharType="separate"/>
    </w:r>
    <w:r w:rsidR="0038341E">
      <w:rPr>
        <w:rStyle w:val="PageNumber"/>
        <w:noProof/>
      </w:rPr>
      <w:t>1</w:t>
    </w:r>
    <w:r w:rsidRPr="00D90972">
      <w:rPr>
        <w:rStyle w:val="PageNumber"/>
      </w:rPr>
      <w:fldChar w:fldCharType="end"/>
    </w:r>
  </w:p>
  <w:p w14:paraId="69A34F9A" w14:textId="77777777" w:rsidR="003A7051" w:rsidRDefault="003A7051" w:rsidP="003A70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4CB1C" w14:textId="77777777" w:rsidR="00B16212" w:rsidRDefault="00B16212">
      <w:r>
        <w:separator/>
      </w:r>
    </w:p>
  </w:footnote>
  <w:footnote w:type="continuationSeparator" w:id="0">
    <w:p w14:paraId="3947A555" w14:textId="77777777" w:rsidR="00B16212" w:rsidRDefault="00B16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CA"/>
    <w:multiLevelType w:val="hybridMultilevel"/>
    <w:tmpl w:val="4D3A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90119"/>
    <w:multiLevelType w:val="hybridMultilevel"/>
    <w:tmpl w:val="980C9860"/>
    <w:lvl w:ilvl="0" w:tplc="0D76B8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17A96"/>
    <w:multiLevelType w:val="hybridMultilevel"/>
    <w:tmpl w:val="41B67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F143E2"/>
    <w:multiLevelType w:val="hybridMultilevel"/>
    <w:tmpl w:val="EE4A1720"/>
    <w:lvl w:ilvl="0" w:tplc="61603008">
      <w:start w:val="1"/>
      <w:numFmt w:val="bullet"/>
      <w:lvlText w:val=""/>
      <w:lvlJc w:val="left"/>
      <w:pPr>
        <w:ind w:left="773" w:hanging="360"/>
      </w:pPr>
      <w:rPr>
        <w:rFonts w:ascii="Symbol" w:hAnsi="Symbol" w:hint="default"/>
        <w:sz w:val="24"/>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31B65D1E"/>
    <w:multiLevelType w:val="hybridMultilevel"/>
    <w:tmpl w:val="4BD6C9B8"/>
    <w:lvl w:ilvl="0" w:tplc="37089BEE">
      <w:start w:val="1"/>
      <w:numFmt w:val="decimal"/>
      <w:pStyle w:val="Numberlist-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37ACF"/>
    <w:multiLevelType w:val="hybridMultilevel"/>
    <w:tmpl w:val="FE34CF58"/>
    <w:lvl w:ilvl="0" w:tplc="D0BEA5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0444D6A"/>
    <w:multiLevelType w:val="hybridMultilevel"/>
    <w:tmpl w:val="35426B72"/>
    <w:lvl w:ilvl="0" w:tplc="6160300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A80D56"/>
    <w:multiLevelType w:val="hybridMultilevel"/>
    <w:tmpl w:val="81028FDC"/>
    <w:lvl w:ilvl="0" w:tplc="2B1E8B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D9714FD"/>
    <w:multiLevelType w:val="hybridMultilevel"/>
    <w:tmpl w:val="DE669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655593"/>
    <w:multiLevelType w:val="hybridMultilevel"/>
    <w:tmpl w:val="51C66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27F65"/>
    <w:multiLevelType w:val="hybridMultilevel"/>
    <w:tmpl w:val="4CCA6C5A"/>
    <w:lvl w:ilvl="0" w:tplc="CA5CDD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A738AF"/>
    <w:multiLevelType w:val="multilevel"/>
    <w:tmpl w:val="980C98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76491533">
    <w:abstractNumId w:val="1"/>
  </w:num>
  <w:num w:numId="2" w16cid:durableId="465240798">
    <w:abstractNumId w:val="11"/>
  </w:num>
  <w:num w:numId="3" w16cid:durableId="833641967">
    <w:abstractNumId w:val="6"/>
  </w:num>
  <w:num w:numId="4" w16cid:durableId="1796555042">
    <w:abstractNumId w:val="3"/>
  </w:num>
  <w:num w:numId="5" w16cid:durableId="1973559748">
    <w:abstractNumId w:val="10"/>
  </w:num>
  <w:num w:numId="6" w16cid:durableId="222109880">
    <w:abstractNumId w:val="5"/>
  </w:num>
  <w:num w:numId="7" w16cid:durableId="1878734511">
    <w:abstractNumId w:val="7"/>
  </w:num>
  <w:num w:numId="8" w16cid:durableId="659113181">
    <w:abstractNumId w:val="0"/>
  </w:num>
  <w:num w:numId="9" w16cid:durableId="540752393">
    <w:abstractNumId w:val="2"/>
  </w:num>
  <w:num w:numId="10" w16cid:durableId="807745830">
    <w:abstractNumId w:val="9"/>
  </w:num>
  <w:num w:numId="11" w16cid:durableId="559946035">
    <w:abstractNumId w:val="4"/>
  </w:num>
  <w:num w:numId="12" w16cid:durableId="10065981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65"/>
    <w:rsid w:val="00001ED2"/>
    <w:rsid w:val="00035A03"/>
    <w:rsid w:val="00050744"/>
    <w:rsid w:val="00061C15"/>
    <w:rsid w:val="000947B2"/>
    <w:rsid w:val="000A2A2A"/>
    <w:rsid w:val="000A79CA"/>
    <w:rsid w:val="00102D46"/>
    <w:rsid w:val="00136F75"/>
    <w:rsid w:val="001914F3"/>
    <w:rsid w:val="001979E6"/>
    <w:rsid w:val="00197FEF"/>
    <w:rsid w:val="001A7399"/>
    <w:rsid w:val="001E056C"/>
    <w:rsid w:val="001F4719"/>
    <w:rsid w:val="001F6D66"/>
    <w:rsid w:val="0026430A"/>
    <w:rsid w:val="002C184F"/>
    <w:rsid w:val="002D13A0"/>
    <w:rsid w:val="00314014"/>
    <w:rsid w:val="00316D83"/>
    <w:rsid w:val="003660DB"/>
    <w:rsid w:val="0038341E"/>
    <w:rsid w:val="003A7051"/>
    <w:rsid w:val="003D08C5"/>
    <w:rsid w:val="0040507B"/>
    <w:rsid w:val="0044592B"/>
    <w:rsid w:val="004550A7"/>
    <w:rsid w:val="004A385B"/>
    <w:rsid w:val="004A4FEC"/>
    <w:rsid w:val="004B0F2B"/>
    <w:rsid w:val="004C5FF4"/>
    <w:rsid w:val="0059241C"/>
    <w:rsid w:val="005A23D4"/>
    <w:rsid w:val="005A5163"/>
    <w:rsid w:val="00636F09"/>
    <w:rsid w:val="006D28E0"/>
    <w:rsid w:val="007E06CA"/>
    <w:rsid w:val="00814D22"/>
    <w:rsid w:val="00817BF0"/>
    <w:rsid w:val="00856CB1"/>
    <w:rsid w:val="008B57A9"/>
    <w:rsid w:val="008F58E4"/>
    <w:rsid w:val="00913C6C"/>
    <w:rsid w:val="009412AD"/>
    <w:rsid w:val="00960B30"/>
    <w:rsid w:val="00964BFB"/>
    <w:rsid w:val="009A0A00"/>
    <w:rsid w:val="00A41F65"/>
    <w:rsid w:val="00A52C0F"/>
    <w:rsid w:val="00AC68D8"/>
    <w:rsid w:val="00B16212"/>
    <w:rsid w:val="00B52342"/>
    <w:rsid w:val="00B83D5E"/>
    <w:rsid w:val="00BA70C2"/>
    <w:rsid w:val="00BB0A8F"/>
    <w:rsid w:val="00BF54D5"/>
    <w:rsid w:val="00C92CF3"/>
    <w:rsid w:val="00CE58AE"/>
    <w:rsid w:val="00D25029"/>
    <w:rsid w:val="00D77A86"/>
    <w:rsid w:val="00DB6034"/>
    <w:rsid w:val="00DF607D"/>
    <w:rsid w:val="00EC559F"/>
    <w:rsid w:val="00EF637D"/>
    <w:rsid w:val="00EF708A"/>
    <w:rsid w:val="00F25A77"/>
    <w:rsid w:val="00F316E1"/>
    <w:rsid w:val="00F33F66"/>
    <w:rsid w:val="00F35D1A"/>
    <w:rsid w:val="00F75573"/>
    <w:rsid w:val="00F96F36"/>
    <w:rsid w:val="00FC55C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7D735F5"/>
  <w15:chartTrackingRefBased/>
  <w15:docId w15:val="{9D675BC6-7858-C14F-BA9A-D42B6B81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F2B"/>
    <w:pPr>
      <w:spacing w:after="120"/>
    </w:pPr>
    <w:rPr>
      <w:rFonts w:ascii="Arial" w:hAnsi="Arial"/>
      <w:sz w:val="22"/>
      <w:szCs w:val="24"/>
    </w:rPr>
  </w:style>
  <w:style w:type="paragraph" w:styleId="Heading1">
    <w:name w:val="heading 1"/>
    <w:basedOn w:val="Normal"/>
    <w:next w:val="Normal"/>
    <w:link w:val="Heading1Char"/>
    <w:qFormat/>
    <w:rsid w:val="004B0F2B"/>
    <w:pPr>
      <w:keepNext/>
      <w:spacing w:before="400" w:after="60"/>
      <w:jc w:val="center"/>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4B0F2B"/>
    <w:pPr>
      <w:keepNext/>
      <w:spacing w:before="240" w:after="60"/>
      <w:outlineLvl w:val="1"/>
    </w:pPr>
    <w:rPr>
      <w:rFonts w:eastAsia="Times New Roman"/>
      <w:b/>
      <w:bCs/>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6D28E0"/>
    <w:rPr>
      <w:sz w:val="16"/>
      <w:szCs w:val="16"/>
    </w:rPr>
  </w:style>
  <w:style w:type="table" w:styleId="TableGrid">
    <w:name w:val="Table Grid"/>
    <w:basedOn w:val="TableNormal"/>
    <w:rsid w:val="00D909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D90972"/>
    <w:pPr>
      <w:tabs>
        <w:tab w:val="center" w:pos="4320"/>
        <w:tab w:val="right" w:pos="8640"/>
      </w:tabs>
    </w:pPr>
  </w:style>
  <w:style w:type="character" w:customStyle="1" w:styleId="HeaderChar">
    <w:name w:val="Header Char"/>
    <w:link w:val="Header"/>
    <w:rsid w:val="00D90972"/>
    <w:rPr>
      <w:sz w:val="24"/>
      <w:szCs w:val="24"/>
    </w:rPr>
  </w:style>
  <w:style w:type="paragraph" w:styleId="Footer">
    <w:name w:val="footer"/>
    <w:basedOn w:val="Normal"/>
    <w:link w:val="FooterChar"/>
    <w:rsid w:val="00D90972"/>
    <w:pPr>
      <w:tabs>
        <w:tab w:val="center" w:pos="4320"/>
        <w:tab w:val="right" w:pos="8640"/>
      </w:tabs>
    </w:pPr>
  </w:style>
  <w:style w:type="character" w:customStyle="1" w:styleId="FooterChar">
    <w:name w:val="Footer Char"/>
    <w:link w:val="Footer"/>
    <w:rsid w:val="00D90972"/>
    <w:rPr>
      <w:sz w:val="24"/>
      <w:szCs w:val="24"/>
    </w:rPr>
  </w:style>
  <w:style w:type="character" w:styleId="PageNumber">
    <w:name w:val="page number"/>
    <w:basedOn w:val="DefaultParagraphFont"/>
    <w:rsid w:val="00D90972"/>
  </w:style>
  <w:style w:type="character" w:styleId="Hyperlink">
    <w:name w:val="Hyperlink"/>
    <w:rsid w:val="0059241C"/>
    <w:rPr>
      <w:color w:val="4472C4"/>
      <w:u w:val="single"/>
    </w:rPr>
  </w:style>
  <w:style w:type="character" w:styleId="FollowedHyperlink">
    <w:name w:val="FollowedHyperlink"/>
    <w:rsid w:val="00DF607D"/>
    <w:rPr>
      <w:color w:val="954F72"/>
      <w:u w:val="single"/>
    </w:rPr>
  </w:style>
  <w:style w:type="paragraph" w:styleId="ListParagraph">
    <w:name w:val="List Paragraph"/>
    <w:basedOn w:val="Normal"/>
    <w:qFormat/>
    <w:rsid w:val="00636F09"/>
    <w:pPr>
      <w:ind w:left="720"/>
    </w:pPr>
  </w:style>
  <w:style w:type="character" w:customStyle="1" w:styleId="Heading1Char">
    <w:name w:val="Heading 1 Char"/>
    <w:link w:val="Heading1"/>
    <w:rsid w:val="004B0F2B"/>
    <w:rPr>
      <w:rFonts w:ascii="Calibri Light" w:eastAsia="Times New Roman" w:hAnsi="Calibri Light" w:cs="Times New Roman"/>
      <w:b/>
      <w:bCs/>
      <w:kern w:val="32"/>
      <w:sz w:val="32"/>
      <w:szCs w:val="32"/>
    </w:rPr>
  </w:style>
  <w:style w:type="character" w:customStyle="1" w:styleId="Heading2Char">
    <w:name w:val="Heading 2 Char"/>
    <w:link w:val="Heading2"/>
    <w:rsid w:val="004B0F2B"/>
    <w:rPr>
      <w:rFonts w:ascii="Arial" w:eastAsia="Times New Roman" w:hAnsi="Arial" w:cs="Times New Roman"/>
      <w:b/>
      <w:bCs/>
      <w:iCs/>
      <w:sz w:val="26"/>
      <w:szCs w:val="26"/>
    </w:rPr>
  </w:style>
  <w:style w:type="paragraph" w:customStyle="1" w:styleId="Numberlist-level1">
    <w:name w:val="Number list - level 1"/>
    <w:basedOn w:val="Normal"/>
    <w:qFormat/>
    <w:rsid w:val="003D08C5"/>
    <w:pPr>
      <w:numPr>
        <w:numId w:val="11"/>
      </w:numPr>
      <w:ind w:left="360"/>
    </w:pPr>
  </w:style>
  <w:style w:type="character" w:styleId="UnresolvedMention">
    <w:name w:val="Unresolved Mention"/>
    <w:uiPriority w:val="99"/>
    <w:semiHidden/>
    <w:unhideWhenUsed/>
    <w:rsid w:val="000A2A2A"/>
    <w:rPr>
      <w:color w:val="605E5C"/>
      <w:shd w:val="clear" w:color="auto" w:fill="E1DFDD"/>
    </w:rPr>
  </w:style>
  <w:style w:type="paragraph" w:styleId="CommentText">
    <w:name w:val="annotation text"/>
    <w:basedOn w:val="Normal"/>
    <w:link w:val="CommentTextChar"/>
    <w:rsid w:val="002D13A0"/>
    <w:rPr>
      <w:sz w:val="20"/>
      <w:szCs w:val="20"/>
    </w:rPr>
  </w:style>
  <w:style w:type="character" w:customStyle="1" w:styleId="CommentTextChar">
    <w:name w:val="Comment Text Char"/>
    <w:basedOn w:val="DefaultParagraphFont"/>
    <w:link w:val="CommentText"/>
    <w:rsid w:val="002D13A0"/>
    <w:rPr>
      <w:rFonts w:ascii="Arial" w:hAnsi="Arial"/>
    </w:rPr>
  </w:style>
  <w:style w:type="paragraph" w:styleId="CommentSubject">
    <w:name w:val="annotation subject"/>
    <w:basedOn w:val="CommentText"/>
    <w:next w:val="CommentText"/>
    <w:link w:val="CommentSubjectChar"/>
    <w:rsid w:val="002D13A0"/>
    <w:rPr>
      <w:b/>
      <w:bCs/>
    </w:rPr>
  </w:style>
  <w:style w:type="character" w:customStyle="1" w:styleId="CommentSubjectChar">
    <w:name w:val="Comment Subject Char"/>
    <w:basedOn w:val="CommentTextChar"/>
    <w:link w:val="CommentSubject"/>
    <w:rsid w:val="002D13A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D373E-E3D9-344D-8144-92A8B6553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Academic Senate for California Community Colleges</Company>
  <LinksUpToDate>false</LinksUpToDate>
  <CharactersWithSpaces>4272</CharactersWithSpaces>
  <SharedDoc>false</SharedDoc>
  <HLinks>
    <vt:vector size="6" baseType="variant">
      <vt:variant>
        <vt:i4>1376325</vt:i4>
      </vt:variant>
      <vt:variant>
        <vt:i4>0</vt:i4>
      </vt:variant>
      <vt:variant>
        <vt:i4>0</vt:i4>
      </vt:variant>
      <vt:variant>
        <vt:i4>5</vt:i4>
      </vt:variant>
      <vt:variant>
        <vt:lpwstr>https://c-idsystem.org/transfer-efforts/</vt:lpwstr>
      </vt:variant>
      <vt:variant>
        <vt:lpwstr>tablepress-1-name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Krystinne Mica</dc:creator>
  <cp:keywords/>
  <cp:lastModifiedBy>Kyoko Hatano</cp:lastModifiedBy>
  <cp:revision>5</cp:revision>
  <dcterms:created xsi:type="dcterms:W3CDTF">2025-10-14T19:48:00Z</dcterms:created>
  <dcterms:modified xsi:type="dcterms:W3CDTF">2025-10-14T20:18:00Z</dcterms:modified>
</cp:coreProperties>
</file>